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附件1</w:t>
      </w:r>
    </w:p>
    <w:p>
      <w:pPr>
        <w:pStyle w:val="2"/>
      </w:pPr>
    </w:p>
    <w:p>
      <w:pPr>
        <w:pStyle w:val="5"/>
        <w:widowControl/>
        <w:adjustRightInd w:val="0"/>
        <w:snapToGrid w:val="0"/>
        <w:spacing w:line="560" w:lineRule="exact"/>
        <w:jc w:val="center"/>
        <w:rPr>
          <w:rFonts w:ascii="华文中宋" w:hAnsi="华文中宋" w:eastAsia="华文中宋" w:cs="华文中宋"/>
          <w:b/>
          <w:color w:val="000000"/>
          <w:sz w:val="44"/>
          <w:szCs w:val="44"/>
          <w:highlight w:val="none"/>
        </w:rPr>
      </w:pPr>
      <w:r>
        <w:rPr>
          <w:rFonts w:hint="eastAsia" w:ascii="方正小标宋简体" w:hAnsi="方正小标宋简体" w:eastAsia="方正小标宋简体" w:cs="方正小标宋简体"/>
          <w:bCs/>
          <w:color w:val="000000"/>
          <w:sz w:val="44"/>
          <w:szCs w:val="44"/>
          <w:highlight w:val="none"/>
        </w:rPr>
        <w:t>北京市农业转基因生物</w:t>
      </w:r>
      <w:r>
        <w:rPr>
          <w:rFonts w:hint="eastAsia" w:ascii="方正小标宋简体" w:hAnsi="方正小标宋简体" w:eastAsia="方正小标宋简体" w:cs="方正小标宋简体"/>
          <w:bCs/>
          <w:color w:val="000000"/>
          <w:sz w:val="44"/>
          <w:szCs w:val="44"/>
          <w:highlight w:val="none"/>
          <w:lang w:eastAsia="zh-CN"/>
        </w:rPr>
        <w:t>研究</w:t>
      </w:r>
      <w:r>
        <w:rPr>
          <w:rFonts w:hint="eastAsia" w:ascii="方正小标宋简体" w:hAnsi="方正小标宋简体" w:eastAsia="方正小标宋简体" w:cs="方正小标宋简体"/>
          <w:bCs/>
          <w:color w:val="000000"/>
          <w:sz w:val="44"/>
          <w:szCs w:val="44"/>
          <w:highlight w:val="none"/>
        </w:rPr>
        <w:t>试验监管方案</w:t>
      </w:r>
    </w:p>
    <w:p>
      <w:pPr>
        <w:spacing w:line="560" w:lineRule="exact"/>
        <w:ind w:firstLine="640"/>
        <w:rPr>
          <w:rFonts w:ascii="仿宋_GB2312" w:hAnsi="仿宋_GB2312" w:eastAsia="仿宋_GB2312" w:cs="仿宋_GB2312"/>
          <w:color w:val="000000"/>
          <w:sz w:val="32"/>
          <w:szCs w:val="32"/>
          <w:highlight w:val="none"/>
        </w:rPr>
      </w:pP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为切实履行好《农业转基因生物安全管理条例》《农业转基因生物安全评价管理办法》赋予的监管职责，做好</w:t>
      </w:r>
      <w:r>
        <w:rPr>
          <w:rFonts w:hint="eastAsia" w:ascii="仿宋_GB2312" w:hAnsi="仿宋_GB2312" w:eastAsia="仿宋_GB2312" w:cs="仿宋_GB2312"/>
          <w:color w:val="000000"/>
          <w:sz w:val="32"/>
          <w:szCs w:val="32"/>
          <w:highlight w:val="none"/>
          <w:lang w:eastAsia="zh-CN"/>
        </w:rPr>
        <w:t>本</w:t>
      </w:r>
      <w:r>
        <w:rPr>
          <w:rFonts w:hint="eastAsia" w:ascii="仿宋_GB2312" w:hAnsi="仿宋_GB2312" w:eastAsia="仿宋_GB2312" w:cs="仿宋_GB2312"/>
          <w:color w:val="000000"/>
          <w:sz w:val="32"/>
          <w:szCs w:val="32"/>
          <w:highlight w:val="none"/>
        </w:rPr>
        <w:t>市农业转基因生物</w:t>
      </w:r>
      <w:r>
        <w:rPr>
          <w:rFonts w:hint="eastAsia" w:ascii="仿宋_GB2312" w:hAnsi="仿宋_GB2312" w:eastAsia="仿宋_GB2312" w:cs="仿宋_GB2312"/>
          <w:color w:val="000000"/>
          <w:sz w:val="32"/>
          <w:szCs w:val="32"/>
          <w:highlight w:val="none"/>
          <w:lang w:eastAsia="zh-CN"/>
        </w:rPr>
        <w:t>研究</w:t>
      </w:r>
      <w:r>
        <w:rPr>
          <w:rFonts w:hint="eastAsia" w:ascii="仿宋_GB2312" w:hAnsi="仿宋_GB2312" w:eastAsia="仿宋_GB2312" w:cs="仿宋_GB2312"/>
          <w:color w:val="000000"/>
          <w:sz w:val="32"/>
          <w:szCs w:val="32"/>
          <w:highlight w:val="none"/>
        </w:rPr>
        <w:t>试验监管工作，制定本方案。</w:t>
      </w:r>
    </w:p>
    <w:p>
      <w:pPr>
        <w:spacing w:line="560" w:lineRule="exact"/>
        <w:ind w:firstLine="64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一、监管对象</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在</w:t>
      </w:r>
      <w:r>
        <w:rPr>
          <w:rFonts w:hint="eastAsia" w:ascii="仿宋_GB2312" w:hAnsi="仿宋_GB2312" w:eastAsia="仿宋_GB2312" w:cs="仿宋_GB2312"/>
          <w:color w:val="000000"/>
          <w:sz w:val="32"/>
          <w:szCs w:val="32"/>
          <w:highlight w:val="none"/>
          <w:lang w:eastAsia="zh-CN"/>
        </w:rPr>
        <w:t>本</w:t>
      </w:r>
      <w:r>
        <w:rPr>
          <w:rFonts w:hint="eastAsia" w:ascii="仿宋_GB2312" w:hAnsi="仿宋_GB2312" w:eastAsia="仿宋_GB2312" w:cs="仿宋_GB2312"/>
          <w:color w:val="000000"/>
          <w:sz w:val="32"/>
          <w:szCs w:val="32"/>
          <w:highlight w:val="none"/>
        </w:rPr>
        <w:t>市开展农业转基因生物</w:t>
      </w:r>
      <w:r>
        <w:rPr>
          <w:rFonts w:hint="eastAsia" w:ascii="仿宋_GB2312" w:hAnsi="仿宋_GB2312" w:eastAsia="仿宋_GB2312" w:cs="仿宋_GB2312"/>
          <w:color w:val="000000"/>
          <w:sz w:val="32"/>
          <w:szCs w:val="32"/>
          <w:highlight w:val="none"/>
          <w:lang w:eastAsia="zh-CN"/>
        </w:rPr>
        <w:t>研究、试验</w:t>
      </w:r>
      <w:r>
        <w:rPr>
          <w:rFonts w:hint="eastAsia" w:ascii="仿宋_GB2312" w:hAnsi="仿宋_GB2312" w:eastAsia="仿宋_GB2312" w:cs="仿宋_GB2312"/>
          <w:color w:val="000000"/>
          <w:sz w:val="32"/>
          <w:szCs w:val="32"/>
          <w:highlight w:val="none"/>
        </w:rPr>
        <w:t>的单位</w:t>
      </w:r>
      <w:r>
        <w:rPr>
          <w:rFonts w:hint="eastAsia" w:ascii="仿宋_GB2312" w:hAnsi="仿宋_GB2312" w:eastAsia="仿宋_GB2312" w:cs="仿宋_GB2312"/>
          <w:color w:val="000000"/>
          <w:sz w:val="32"/>
          <w:szCs w:val="32"/>
          <w:highlight w:val="none"/>
          <w:lang w:eastAsia="zh-CN"/>
        </w:rPr>
        <w:t>，开展常规育种</w:t>
      </w:r>
      <w:r>
        <w:rPr>
          <w:rFonts w:hint="eastAsia" w:ascii="仿宋_GB2312" w:hAnsi="仿宋_GB2312" w:eastAsia="仿宋_GB2312" w:cs="仿宋_GB2312"/>
          <w:color w:val="000000"/>
          <w:sz w:val="32"/>
          <w:szCs w:val="32"/>
          <w:highlight w:val="none"/>
        </w:rPr>
        <w:t>试验</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涉农科研育种单位。</w:t>
      </w:r>
    </w:p>
    <w:p>
      <w:pPr>
        <w:spacing w:line="560" w:lineRule="exact"/>
        <w:ind w:firstLine="64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二、监管内容</w:t>
      </w:r>
    </w:p>
    <w:p>
      <w:pPr>
        <w:spacing w:line="560" w:lineRule="exact"/>
        <w:ind w:firstLine="640" w:firstLineChars="200"/>
        <w:rPr>
          <w:rFonts w:hint="eastAsia" w:ascii="楷体_GB2312" w:hAnsi="楷体_GB2312" w:eastAsia="楷体_GB2312" w:cs="楷体_GB2312"/>
          <w:b w:val="0"/>
          <w:bCs w:val="0"/>
          <w:color w:val="000000"/>
          <w:sz w:val="32"/>
          <w:szCs w:val="32"/>
          <w:highlight w:val="none"/>
          <w:lang w:eastAsia="zh-CN"/>
        </w:rPr>
      </w:pP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研究、试验单位管理要求落实情况</w:t>
      </w:r>
    </w:p>
    <w:p>
      <w:pPr>
        <w:spacing w:line="560" w:lineRule="exact"/>
        <w:ind w:firstLine="640"/>
        <w:rPr>
          <w:rFonts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eastAsia="zh-CN"/>
        </w:rPr>
        <w:t>从事农业转基因生物研究、</w:t>
      </w:r>
      <w:r>
        <w:rPr>
          <w:rFonts w:hint="eastAsia" w:ascii="仿宋_GB2312" w:hAnsi="仿宋_GB2312" w:eastAsia="仿宋_GB2312" w:cs="仿宋_GB2312"/>
          <w:bCs/>
          <w:color w:val="000000"/>
          <w:sz w:val="32"/>
          <w:szCs w:val="32"/>
          <w:highlight w:val="none"/>
        </w:rPr>
        <w:t>试验</w:t>
      </w:r>
      <w:r>
        <w:rPr>
          <w:rFonts w:hint="eastAsia" w:ascii="仿宋_GB2312" w:hAnsi="仿宋_GB2312" w:eastAsia="仿宋_GB2312" w:cs="仿宋_GB2312"/>
          <w:bCs/>
          <w:color w:val="000000"/>
          <w:sz w:val="32"/>
          <w:szCs w:val="32"/>
          <w:highlight w:val="none"/>
          <w:lang w:eastAsia="zh-CN"/>
        </w:rPr>
        <w:t>的</w:t>
      </w:r>
      <w:r>
        <w:rPr>
          <w:rFonts w:hint="eastAsia" w:ascii="仿宋_GB2312" w:hAnsi="仿宋_GB2312" w:eastAsia="仿宋_GB2312" w:cs="仿宋_GB2312"/>
          <w:bCs/>
          <w:color w:val="000000"/>
          <w:sz w:val="32"/>
          <w:szCs w:val="32"/>
          <w:highlight w:val="none"/>
        </w:rPr>
        <w:t>单位落实单位法人负责制</w:t>
      </w:r>
      <w:r>
        <w:rPr>
          <w:rFonts w:hint="eastAsia" w:ascii="仿宋_GB2312" w:hAnsi="仿宋_GB2312" w:eastAsia="仿宋_GB2312" w:cs="仿宋_GB2312"/>
          <w:bCs/>
          <w:color w:val="000000"/>
          <w:sz w:val="32"/>
          <w:szCs w:val="32"/>
          <w:highlight w:val="none"/>
          <w:lang w:eastAsia="zh-CN"/>
        </w:rPr>
        <w:t>情况</w:t>
      </w:r>
      <w:r>
        <w:rPr>
          <w:rFonts w:hint="eastAsia" w:ascii="仿宋_GB2312" w:hAnsi="仿宋_GB2312" w:eastAsia="仿宋_GB2312" w:cs="仿宋_GB2312"/>
          <w:bCs/>
          <w:color w:val="000000"/>
          <w:sz w:val="32"/>
          <w:szCs w:val="32"/>
          <w:highlight w:val="none"/>
        </w:rPr>
        <w:t>。重点检查内容包括：</w:t>
      </w:r>
    </w:p>
    <w:p>
      <w:pPr>
        <w:spacing w:line="560" w:lineRule="exact"/>
        <w:ind w:firstLine="640"/>
        <w:rPr>
          <w:rFonts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1.</w:t>
      </w:r>
      <w:r>
        <w:rPr>
          <w:rFonts w:hint="eastAsia" w:ascii="仿宋_GB2312" w:hAnsi="仿宋_GB2312" w:eastAsia="仿宋_GB2312" w:cs="仿宋_GB2312"/>
          <w:bCs/>
          <w:color w:val="000000"/>
          <w:sz w:val="32"/>
          <w:szCs w:val="32"/>
          <w:highlight w:val="none"/>
          <w:lang w:eastAsia="zh-CN"/>
        </w:rPr>
        <w:t>组织管理</w:t>
      </w:r>
      <w:r>
        <w:rPr>
          <w:rFonts w:hint="eastAsia" w:ascii="仿宋_GB2312" w:hAnsi="仿宋_GB2312" w:eastAsia="仿宋_GB2312" w:cs="仿宋_GB2312"/>
          <w:bCs/>
          <w:color w:val="000000"/>
          <w:sz w:val="32"/>
          <w:szCs w:val="32"/>
          <w:highlight w:val="none"/>
        </w:rPr>
        <w:t>。包括</w:t>
      </w:r>
      <w:r>
        <w:rPr>
          <w:rFonts w:hint="eastAsia" w:ascii="仿宋_GB2312" w:hAnsi="仿宋_GB2312" w:eastAsia="仿宋_GB2312" w:cs="仿宋_GB2312"/>
          <w:bCs/>
          <w:color w:val="000000"/>
          <w:sz w:val="32"/>
          <w:szCs w:val="32"/>
          <w:highlight w:val="none"/>
          <w:lang w:eastAsia="zh-CN"/>
        </w:rPr>
        <w:t>研究、</w:t>
      </w:r>
      <w:r>
        <w:rPr>
          <w:rFonts w:hint="eastAsia" w:ascii="仿宋_GB2312" w:hAnsi="仿宋_GB2312" w:eastAsia="仿宋_GB2312" w:cs="仿宋_GB2312"/>
          <w:bCs/>
          <w:color w:val="000000"/>
          <w:sz w:val="32"/>
          <w:szCs w:val="32"/>
          <w:highlight w:val="none"/>
        </w:rPr>
        <w:t>试验单位法人负责制、农业转基因生物安全领导小组、农业转基因生物安全管理制度</w:t>
      </w:r>
      <w:r>
        <w:rPr>
          <w:rFonts w:hint="eastAsia" w:ascii="仿宋_GB2312" w:hAnsi="仿宋_GB2312" w:eastAsia="仿宋_GB2312" w:cs="仿宋_GB2312"/>
          <w:bCs/>
          <w:color w:val="000000"/>
          <w:sz w:val="32"/>
          <w:szCs w:val="32"/>
          <w:highlight w:val="none"/>
          <w:lang w:eastAsia="zh-CN"/>
        </w:rPr>
        <w:t>、试验点（试验基地、实验室</w:t>
      </w:r>
      <w:r>
        <w:rPr>
          <w:rFonts w:hint="eastAsia" w:ascii="仿宋_GB2312" w:hAnsi="仿宋_GB2312" w:eastAsia="仿宋_GB2312" w:cs="仿宋_GB2312"/>
          <w:bCs/>
          <w:color w:val="000000"/>
          <w:sz w:val="32"/>
          <w:szCs w:val="32"/>
          <w:highlight w:val="none"/>
          <w:lang w:val="en-US" w:eastAsia="zh-CN"/>
        </w:rPr>
        <w:t>、温室</w:t>
      </w:r>
      <w:r>
        <w:rPr>
          <w:rFonts w:hint="eastAsia" w:ascii="仿宋_GB2312" w:hAnsi="仿宋_GB2312" w:eastAsia="仿宋_GB2312" w:cs="仿宋_GB2312"/>
          <w:bCs/>
          <w:color w:val="000000"/>
          <w:sz w:val="32"/>
          <w:szCs w:val="32"/>
          <w:highlight w:val="none"/>
          <w:lang w:eastAsia="zh-CN"/>
        </w:rPr>
        <w:t>）专人负责制</w:t>
      </w:r>
      <w:r>
        <w:rPr>
          <w:rFonts w:hint="eastAsia" w:ascii="仿宋_GB2312" w:hAnsi="仿宋_GB2312" w:eastAsia="仿宋_GB2312" w:cs="仿宋_GB2312"/>
          <w:bCs/>
          <w:color w:val="000000"/>
          <w:sz w:val="32"/>
          <w:szCs w:val="32"/>
          <w:highlight w:val="none"/>
        </w:rPr>
        <w:t>等</w:t>
      </w:r>
      <w:r>
        <w:rPr>
          <w:rFonts w:hint="eastAsia" w:ascii="仿宋_GB2312" w:hAnsi="仿宋_GB2312" w:eastAsia="仿宋_GB2312" w:cs="仿宋_GB2312"/>
          <w:bCs/>
          <w:color w:val="000000"/>
          <w:sz w:val="32"/>
          <w:szCs w:val="32"/>
          <w:highlight w:val="none"/>
          <w:lang w:eastAsia="zh-CN"/>
        </w:rPr>
        <w:t>组织</w:t>
      </w:r>
      <w:r>
        <w:rPr>
          <w:rFonts w:hint="eastAsia" w:ascii="仿宋_GB2312" w:hAnsi="仿宋_GB2312" w:eastAsia="仿宋_GB2312" w:cs="仿宋_GB2312"/>
          <w:bCs/>
          <w:color w:val="000000"/>
          <w:sz w:val="32"/>
          <w:szCs w:val="32"/>
          <w:highlight w:val="none"/>
        </w:rPr>
        <w:t>管理情况</w:t>
      </w:r>
      <w:r>
        <w:rPr>
          <w:rFonts w:hint="eastAsia" w:ascii="仿宋_GB2312" w:hAnsi="仿宋_GB2312" w:eastAsia="仿宋_GB2312" w:cs="仿宋_GB2312"/>
          <w:bCs/>
          <w:color w:val="000000"/>
          <w:sz w:val="32"/>
          <w:szCs w:val="32"/>
          <w:highlight w:val="none"/>
          <w:lang w:eastAsia="zh-CN"/>
        </w:rPr>
        <w:t>，人员变更后各项管理职责的落实情况。</w:t>
      </w:r>
    </w:p>
    <w:p>
      <w:pPr>
        <w:spacing w:line="560" w:lineRule="exact"/>
        <w:ind w:firstLine="640"/>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Cs/>
          <w:color w:val="000000"/>
          <w:sz w:val="32"/>
          <w:szCs w:val="32"/>
          <w:highlight w:val="none"/>
        </w:rPr>
        <w:t>2.</w:t>
      </w:r>
      <w:r>
        <w:rPr>
          <w:rFonts w:hint="eastAsia" w:ascii="仿宋_GB2312" w:hAnsi="仿宋_GB2312" w:eastAsia="仿宋_GB2312" w:cs="仿宋_GB2312"/>
          <w:bCs/>
          <w:color w:val="000000"/>
          <w:sz w:val="32"/>
          <w:szCs w:val="32"/>
          <w:highlight w:val="none"/>
          <w:lang w:eastAsia="zh-CN"/>
        </w:rPr>
        <w:t>管理制度</w:t>
      </w:r>
      <w:r>
        <w:rPr>
          <w:rFonts w:hint="eastAsia" w:ascii="仿宋_GB2312" w:hAnsi="仿宋_GB2312" w:eastAsia="仿宋_GB2312" w:cs="仿宋_GB2312"/>
          <w:bCs/>
          <w:color w:val="000000"/>
          <w:sz w:val="32"/>
          <w:szCs w:val="32"/>
          <w:highlight w:val="none"/>
        </w:rPr>
        <w:t>。</w:t>
      </w:r>
      <w:r>
        <w:rPr>
          <w:rFonts w:hint="eastAsia" w:ascii="仿宋_GB2312" w:hAnsi="仿宋_GB2312" w:eastAsia="仿宋_GB2312" w:cs="仿宋_GB2312"/>
          <w:bCs/>
          <w:color w:val="000000"/>
          <w:sz w:val="32"/>
          <w:szCs w:val="32"/>
          <w:highlight w:val="none"/>
          <w:lang w:eastAsia="zh-CN"/>
        </w:rPr>
        <w:t>包括试验点（试验基地、实验室</w:t>
      </w:r>
      <w:r>
        <w:rPr>
          <w:rFonts w:hint="eastAsia" w:ascii="仿宋_GB2312" w:hAnsi="仿宋_GB2312" w:eastAsia="仿宋_GB2312" w:cs="仿宋_GB2312"/>
          <w:bCs/>
          <w:color w:val="000000"/>
          <w:sz w:val="32"/>
          <w:szCs w:val="32"/>
          <w:highlight w:val="none"/>
          <w:lang w:val="en-US" w:eastAsia="zh-CN"/>
        </w:rPr>
        <w:t>、温室</w:t>
      </w:r>
      <w:r>
        <w:rPr>
          <w:rFonts w:hint="eastAsia" w:ascii="仿宋_GB2312" w:hAnsi="仿宋_GB2312" w:eastAsia="仿宋_GB2312" w:cs="仿宋_GB2312"/>
          <w:bCs/>
          <w:color w:val="000000"/>
          <w:sz w:val="32"/>
          <w:szCs w:val="32"/>
          <w:highlight w:val="none"/>
          <w:lang w:eastAsia="zh-CN"/>
        </w:rPr>
        <w:t>）人员与物品的出入授权与审批、试验审查、材料引入与转出、安全检查、人员培训、农业转基因生物安全突发事件应急预案、操作规程、档案管理等制度的建立及落实情况。</w:t>
      </w:r>
    </w:p>
    <w:p>
      <w:pPr>
        <w:spacing w:line="560" w:lineRule="exact"/>
        <w:ind w:firstLine="640" w:firstLineChars="200"/>
        <w:rPr>
          <w:rFonts w:hint="eastAsia" w:ascii="楷体_GB2312" w:hAnsi="楷体_GB2312" w:eastAsia="楷体_GB2312" w:cs="楷体_GB2312"/>
          <w:b w:val="0"/>
          <w:bCs w:val="0"/>
          <w:color w:val="000000"/>
          <w:sz w:val="32"/>
          <w:szCs w:val="32"/>
          <w:highlight w:val="none"/>
          <w:lang w:eastAsia="zh-CN"/>
        </w:rPr>
      </w:pPr>
      <w:r>
        <w:rPr>
          <w:rFonts w:hint="eastAsia" w:ascii="楷体_GB2312" w:hAnsi="楷体_GB2312" w:eastAsia="楷体_GB2312" w:cs="楷体_GB2312"/>
          <w:b w:val="0"/>
          <w:bCs w:val="0"/>
          <w:color w:val="000000"/>
          <w:sz w:val="32"/>
          <w:szCs w:val="32"/>
          <w:highlight w:val="none"/>
        </w:rPr>
        <w:t>（二）</w:t>
      </w:r>
      <w:r>
        <w:rPr>
          <w:rFonts w:hint="eastAsia" w:ascii="楷体_GB2312" w:hAnsi="楷体_GB2312" w:eastAsia="楷体_GB2312" w:cs="楷体_GB2312"/>
          <w:b w:val="0"/>
          <w:bCs w:val="0"/>
          <w:color w:val="000000"/>
          <w:sz w:val="32"/>
          <w:szCs w:val="32"/>
          <w:highlight w:val="none"/>
          <w:lang w:eastAsia="zh-CN"/>
        </w:rPr>
        <w:t>研究、试验项目开展情况</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加强本辖区常规育种试验基地安全检查</w:t>
      </w:r>
      <w:r>
        <w:rPr>
          <w:rFonts w:hint="eastAsia" w:ascii="仿宋_GB2312" w:hAnsi="仿宋_GB2312" w:eastAsia="仿宋_GB2312" w:cs="仿宋_GB2312"/>
          <w:color w:val="000000"/>
          <w:sz w:val="32"/>
          <w:szCs w:val="32"/>
          <w:highlight w:val="none"/>
        </w:rPr>
        <w:t>和</w:t>
      </w:r>
      <w:r>
        <w:rPr>
          <w:rFonts w:hint="eastAsia" w:ascii="仿宋_GB2312" w:hAnsi="仿宋_GB2312" w:eastAsia="仿宋_GB2312" w:cs="仿宋_GB2312"/>
          <w:color w:val="000000"/>
          <w:sz w:val="32"/>
          <w:szCs w:val="32"/>
          <w:highlight w:val="none"/>
          <w:lang w:eastAsia="zh-CN"/>
        </w:rPr>
        <w:t>安全评价试验项目执法</w:t>
      </w:r>
      <w:r>
        <w:rPr>
          <w:rFonts w:hint="eastAsia" w:ascii="仿宋_GB2312" w:hAnsi="仿宋_GB2312" w:eastAsia="仿宋_GB2312" w:cs="仿宋_GB2312"/>
          <w:color w:val="000000"/>
          <w:sz w:val="32"/>
          <w:szCs w:val="32"/>
          <w:highlight w:val="none"/>
        </w:rPr>
        <w:t>监督检查。</w:t>
      </w:r>
      <w:r>
        <w:rPr>
          <w:rFonts w:hint="eastAsia" w:ascii="仿宋_GB2312" w:hAnsi="仿宋_GB2312" w:eastAsia="仿宋_GB2312" w:cs="仿宋_GB2312"/>
          <w:color w:val="000000"/>
          <w:sz w:val="32"/>
          <w:szCs w:val="32"/>
          <w:highlight w:val="none"/>
          <w:lang w:eastAsia="zh-CN"/>
        </w:rPr>
        <w:t>重点检查内容包括：</w:t>
      </w:r>
    </w:p>
    <w:p>
      <w:pPr>
        <w:numPr>
          <w:ilvl w:val="0"/>
          <w:numId w:val="0"/>
        </w:num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常规育种试验基地是否存在非法试验的情况。</w:t>
      </w:r>
    </w:p>
    <w:p>
      <w:pPr>
        <w:numPr>
          <w:ilvl w:val="0"/>
          <w:numId w:val="0"/>
        </w:num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未依法报告（中间试验）、报批（环境释放和生产性试验）开展安全评价试验</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情况</w:t>
      </w:r>
      <w:r>
        <w:rPr>
          <w:rFonts w:hint="eastAsia" w:ascii="仿宋_GB2312" w:hAnsi="仿宋_GB2312" w:eastAsia="仿宋_GB2312" w:cs="仿宋_GB2312"/>
          <w:color w:val="000000"/>
          <w:sz w:val="32"/>
          <w:szCs w:val="32"/>
          <w:highlight w:val="none"/>
          <w:lang w:eastAsia="zh-CN"/>
        </w:rPr>
        <w:t>。</w:t>
      </w:r>
    </w:p>
    <w:p>
      <w:pPr>
        <w:spacing w:line="560" w:lineRule="exact"/>
        <w:ind w:firstLine="480" w:firstLineChars="15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批复</w:t>
      </w:r>
      <w:r>
        <w:rPr>
          <w:rFonts w:hint="eastAsia" w:ascii="仿宋_GB2312" w:hAnsi="仿宋_GB2312" w:eastAsia="仿宋_GB2312" w:cs="仿宋_GB2312"/>
          <w:color w:val="000000"/>
          <w:sz w:val="32"/>
          <w:szCs w:val="32"/>
          <w:highlight w:val="none"/>
        </w:rPr>
        <w:t>开展的安全评价试验</w:t>
      </w:r>
      <w:r>
        <w:rPr>
          <w:rFonts w:hint="eastAsia" w:ascii="仿宋_GB2312" w:hAnsi="仿宋_GB2312" w:eastAsia="仿宋_GB2312" w:cs="仿宋_GB2312"/>
          <w:color w:val="000000"/>
          <w:sz w:val="32"/>
          <w:szCs w:val="32"/>
          <w:highlight w:val="none"/>
          <w:lang w:eastAsia="zh-CN"/>
        </w:rPr>
        <w:t>（实验研究、中间试验、环境释放、生产性试验）</w:t>
      </w:r>
      <w:r>
        <w:rPr>
          <w:rFonts w:hint="eastAsia" w:ascii="仿宋_GB2312" w:hAnsi="仿宋_GB2312" w:eastAsia="仿宋_GB2312" w:cs="仿宋_GB2312"/>
          <w:color w:val="000000"/>
          <w:sz w:val="32"/>
          <w:szCs w:val="32"/>
          <w:highlight w:val="none"/>
        </w:rPr>
        <w:t>是否符合农业农村部批复文件要求</w:t>
      </w:r>
      <w:r>
        <w:rPr>
          <w:rFonts w:hint="eastAsia" w:ascii="仿宋_GB2312" w:hAnsi="仿宋_GB2312" w:eastAsia="仿宋_GB2312" w:cs="仿宋_GB2312"/>
          <w:color w:val="000000"/>
          <w:sz w:val="32"/>
          <w:szCs w:val="32"/>
          <w:highlight w:val="none"/>
          <w:lang w:eastAsia="zh-CN"/>
        </w:rPr>
        <w:t>，各项安全控制措施是否落实到位，各项管理制度是否依规执行的情况。</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本辖区内涉及</w:t>
      </w:r>
      <w:r>
        <w:rPr>
          <w:rFonts w:hint="eastAsia" w:ascii="仿宋_GB2312" w:hAnsi="仿宋_GB2312" w:eastAsia="仿宋_GB2312" w:cs="仿宋_GB2312"/>
          <w:color w:val="000000"/>
          <w:sz w:val="32"/>
          <w:szCs w:val="32"/>
          <w:highlight w:val="none"/>
        </w:rPr>
        <w:t>南繁基地</w:t>
      </w:r>
      <w:r>
        <w:rPr>
          <w:rFonts w:hint="eastAsia" w:ascii="仿宋_GB2312" w:hAnsi="仿宋_GB2312" w:eastAsia="仿宋_GB2312" w:cs="仿宋_GB2312"/>
          <w:color w:val="000000"/>
          <w:sz w:val="32"/>
          <w:szCs w:val="32"/>
          <w:highlight w:val="none"/>
          <w:lang w:eastAsia="zh-CN"/>
        </w:rPr>
        <w:t>的涉农科研单位</w:t>
      </w:r>
      <w:r>
        <w:rPr>
          <w:rFonts w:hint="eastAsia" w:ascii="仿宋_GB2312" w:hAnsi="仿宋_GB2312" w:eastAsia="仿宋_GB2312" w:cs="仿宋_GB2312"/>
          <w:color w:val="000000"/>
          <w:sz w:val="32"/>
          <w:szCs w:val="32"/>
          <w:highlight w:val="none"/>
        </w:rPr>
        <w:t>配合海南省有关部门做好农业转基因生物安全监管工作</w:t>
      </w:r>
      <w:r>
        <w:rPr>
          <w:rFonts w:hint="eastAsia" w:ascii="仿宋_GB2312" w:hAnsi="仿宋_GB2312" w:eastAsia="仿宋_GB2312" w:cs="仿宋_GB2312"/>
          <w:color w:val="000000"/>
          <w:sz w:val="32"/>
          <w:szCs w:val="32"/>
          <w:highlight w:val="none"/>
          <w:lang w:eastAsia="zh-CN"/>
        </w:rPr>
        <w:t>、严禁非法试验和育繁种行为等情况</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三、监管要求</w:t>
      </w:r>
    </w:p>
    <w:p>
      <w:pPr>
        <w:spacing w:line="560" w:lineRule="exact"/>
        <w:ind w:firstLine="640" w:firstLineChars="200"/>
        <w:rPr>
          <w:rFonts w:hint="eastAsia" w:ascii="楷体_GB2312" w:hAnsi="楷体_GB2312" w:eastAsia="楷体_GB2312" w:cs="楷体_GB2312"/>
          <w:b w:val="0"/>
          <w:bCs w:val="0"/>
          <w:color w:val="000000"/>
          <w:sz w:val="32"/>
          <w:szCs w:val="32"/>
          <w:highlight w:val="none"/>
        </w:rPr>
      </w:pP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督促</w:t>
      </w:r>
      <w:r>
        <w:rPr>
          <w:rFonts w:hint="eastAsia" w:ascii="楷体_GB2312" w:hAnsi="楷体_GB2312" w:eastAsia="楷体_GB2312" w:cs="楷体_GB2312"/>
          <w:b w:val="0"/>
          <w:bCs w:val="0"/>
          <w:color w:val="000000"/>
          <w:sz w:val="32"/>
          <w:szCs w:val="32"/>
          <w:highlight w:val="none"/>
        </w:rPr>
        <w:t>研发单位自我管理</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1.强化制度建设。</w:t>
      </w:r>
      <w:r>
        <w:rPr>
          <w:rFonts w:hint="eastAsia" w:ascii="仿宋_GB2312" w:hAnsi="仿宋_GB2312" w:eastAsia="仿宋_GB2312" w:cs="仿宋_GB2312"/>
          <w:color w:val="000000"/>
          <w:sz w:val="32"/>
          <w:szCs w:val="32"/>
          <w:highlight w:val="none"/>
          <w:lang w:eastAsia="zh-CN"/>
        </w:rPr>
        <w:t>要求</w:t>
      </w:r>
      <w:r>
        <w:rPr>
          <w:rFonts w:hint="eastAsia" w:ascii="仿宋_GB2312" w:hAnsi="仿宋_GB2312" w:eastAsia="仿宋_GB2312" w:cs="仿宋_GB2312"/>
          <w:color w:val="000000"/>
          <w:sz w:val="32"/>
          <w:szCs w:val="32"/>
          <w:highlight w:val="none"/>
        </w:rPr>
        <w:t>研发单位切实担负起</w:t>
      </w:r>
      <w:r>
        <w:rPr>
          <w:rFonts w:hint="eastAsia" w:ascii="仿宋_GB2312" w:hAnsi="仿宋_GB2312" w:eastAsia="仿宋_GB2312" w:cs="仿宋_GB2312"/>
          <w:color w:val="000000"/>
          <w:sz w:val="32"/>
          <w:szCs w:val="32"/>
          <w:highlight w:val="none"/>
          <w:lang w:eastAsia="zh-CN"/>
        </w:rPr>
        <w:t>生物安全</w:t>
      </w:r>
      <w:r>
        <w:rPr>
          <w:rFonts w:hint="eastAsia" w:ascii="仿宋_GB2312" w:hAnsi="仿宋_GB2312" w:eastAsia="仿宋_GB2312" w:cs="仿宋_GB2312"/>
          <w:color w:val="000000"/>
          <w:sz w:val="32"/>
          <w:szCs w:val="32"/>
          <w:highlight w:val="none"/>
        </w:rPr>
        <w:t>主体责任，加强单位</w:t>
      </w:r>
      <w:r>
        <w:rPr>
          <w:rFonts w:hint="eastAsia" w:ascii="仿宋_GB2312" w:hAnsi="仿宋_GB2312" w:eastAsia="仿宋_GB2312" w:cs="仿宋_GB2312"/>
          <w:color w:val="000000"/>
          <w:sz w:val="32"/>
          <w:szCs w:val="32"/>
          <w:highlight w:val="none"/>
          <w:lang w:eastAsia="zh-CN"/>
        </w:rPr>
        <w:t>日常管理</w:t>
      </w:r>
      <w:r>
        <w:rPr>
          <w:rFonts w:hint="eastAsia" w:ascii="仿宋_GB2312" w:hAnsi="仿宋_GB2312" w:eastAsia="仿宋_GB2312" w:cs="仿宋_GB2312"/>
          <w:color w:val="000000"/>
          <w:sz w:val="32"/>
          <w:szCs w:val="32"/>
          <w:highlight w:val="none"/>
        </w:rPr>
        <w:t>、控制措施、</w:t>
      </w:r>
      <w:r>
        <w:rPr>
          <w:rFonts w:hint="eastAsia" w:ascii="仿宋_GB2312" w:hAnsi="仿宋_GB2312" w:eastAsia="仿宋_GB2312" w:cs="仿宋_GB2312"/>
          <w:color w:val="000000"/>
          <w:sz w:val="32"/>
          <w:szCs w:val="32"/>
          <w:highlight w:val="none"/>
          <w:lang w:eastAsia="zh-CN"/>
        </w:rPr>
        <w:t>安全</w:t>
      </w:r>
      <w:r>
        <w:rPr>
          <w:rFonts w:hint="eastAsia" w:ascii="仿宋_GB2312" w:hAnsi="仿宋_GB2312" w:eastAsia="仿宋_GB2312" w:cs="仿宋_GB2312"/>
          <w:color w:val="000000"/>
          <w:sz w:val="32"/>
          <w:szCs w:val="32"/>
          <w:highlight w:val="none"/>
        </w:rPr>
        <w:t>检查等制度建设。</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2.强化自查自纠。</w:t>
      </w:r>
      <w:r>
        <w:rPr>
          <w:rFonts w:hint="eastAsia" w:ascii="仿宋_GB2312" w:hAnsi="仿宋_GB2312" w:eastAsia="仿宋_GB2312" w:cs="仿宋_GB2312"/>
          <w:color w:val="000000"/>
          <w:sz w:val="32"/>
          <w:szCs w:val="32"/>
          <w:highlight w:val="none"/>
          <w:lang w:eastAsia="zh-CN"/>
        </w:rPr>
        <w:t>各区</w:t>
      </w:r>
      <w:r>
        <w:rPr>
          <w:rFonts w:hint="eastAsia" w:ascii="仿宋_GB2312" w:hAnsi="仿宋_GB2312" w:eastAsia="仿宋_GB2312" w:cs="仿宋_GB2312"/>
          <w:color w:val="000000"/>
          <w:sz w:val="32"/>
          <w:szCs w:val="32"/>
          <w:highlight w:val="none"/>
        </w:rPr>
        <w:t>组织</w:t>
      </w:r>
      <w:r>
        <w:rPr>
          <w:rFonts w:hint="eastAsia" w:ascii="仿宋_GB2312" w:hAnsi="仿宋_GB2312" w:eastAsia="仿宋_GB2312" w:cs="仿宋_GB2312"/>
          <w:color w:val="000000"/>
          <w:sz w:val="32"/>
          <w:szCs w:val="32"/>
          <w:highlight w:val="none"/>
          <w:lang w:eastAsia="zh-CN"/>
        </w:rPr>
        <w:t>辖区内监管对象，</w:t>
      </w:r>
      <w:r>
        <w:rPr>
          <w:rFonts w:hint="eastAsia" w:ascii="仿宋_GB2312" w:hAnsi="仿宋_GB2312" w:eastAsia="仿宋_GB2312" w:cs="仿宋_GB2312"/>
          <w:color w:val="000000"/>
          <w:sz w:val="32"/>
          <w:szCs w:val="32"/>
          <w:highlight w:val="none"/>
        </w:rPr>
        <w:t>对照农业农村部批复的安全评价试验项目清单和</w:t>
      </w:r>
      <w:r>
        <w:rPr>
          <w:rFonts w:hint="eastAsia" w:ascii="仿宋_GB2312" w:hAnsi="仿宋_GB2312" w:eastAsia="仿宋_GB2312" w:cs="仿宋_GB2312"/>
          <w:color w:val="000000"/>
          <w:sz w:val="32"/>
          <w:szCs w:val="32"/>
          <w:highlight w:val="none"/>
          <w:lang w:eastAsia="zh-CN"/>
        </w:rPr>
        <w:t>被监管</w:t>
      </w:r>
      <w:r>
        <w:rPr>
          <w:rFonts w:hint="eastAsia" w:ascii="仿宋_GB2312" w:hAnsi="仿宋_GB2312" w:eastAsia="仿宋_GB2312" w:cs="仿宋_GB2312"/>
          <w:color w:val="000000"/>
          <w:sz w:val="32"/>
          <w:szCs w:val="32"/>
          <w:highlight w:val="none"/>
        </w:rPr>
        <w:t>单位农业转基因生物安全领导小组批准的试验研究项目清单开展自查工作，撰写自查报告</w:t>
      </w:r>
      <w:r>
        <w:rPr>
          <w:rFonts w:hint="eastAsia" w:ascii="仿宋_GB2312" w:hAnsi="仿宋_GB2312" w:eastAsia="仿宋_GB2312" w:cs="仿宋_GB2312"/>
          <w:color w:val="000000"/>
          <w:sz w:val="32"/>
          <w:szCs w:val="32"/>
          <w:highlight w:val="none"/>
          <w:lang w:eastAsia="zh-CN"/>
        </w:rPr>
        <w:t>，并加盖单位公章。区农业农村局将各单位自查报告收齐汇总后，每月</w:t>
      </w:r>
      <w:r>
        <w:rPr>
          <w:rFonts w:hint="eastAsia" w:ascii="仿宋_GB2312" w:hAnsi="仿宋_GB2312" w:eastAsia="仿宋_GB2312" w:cs="仿宋_GB2312"/>
          <w:color w:val="000000"/>
          <w:sz w:val="32"/>
          <w:szCs w:val="32"/>
          <w:highlight w:val="none"/>
          <w:lang w:val="en-US" w:eastAsia="zh-CN"/>
        </w:rPr>
        <w:t>5日前，</w:t>
      </w:r>
      <w:r>
        <w:rPr>
          <w:rFonts w:hint="eastAsia" w:ascii="仿宋_GB2312" w:hAnsi="仿宋_GB2312" w:eastAsia="仿宋_GB2312" w:cs="仿宋_GB2312"/>
          <w:color w:val="000000"/>
          <w:sz w:val="32"/>
          <w:szCs w:val="32"/>
          <w:highlight w:val="none"/>
          <w:lang w:eastAsia="zh-CN"/>
        </w:rPr>
        <w:t>统一报送市农业综合执法总队，</w:t>
      </w:r>
      <w:r>
        <w:rPr>
          <w:rFonts w:hint="eastAsia" w:ascii="仿宋_GB2312" w:hAnsi="仿宋_GB2312" w:eastAsia="仿宋_GB2312" w:cs="仿宋_GB2312"/>
          <w:color w:val="000000"/>
          <w:sz w:val="32"/>
          <w:szCs w:val="32"/>
          <w:highlight w:val="none"/>
        </w:rPr>
        <w:t>同时</w:t>
      </w:r>
      <w:r>
        <w:rPr>
          <w:rFonts w:hint="eastAsia" w:ascii="仿宋_GB2312" w:hAnsi="仿宋_GB2312" w:eastAsia="仿宋_GB2312" w:cs="仿宋_GB2312"/>
          <w:color w:val="000000"/>
          <w:sz w:val="32"/>
          <w:szCs w:val="32"/>
          <w:highlight w:val="none"/>
          <w:lang w:eastAsia="zh-CN"/>
        </w:rPr>
        <w:t>报送</w:t>
      </w:r>
      <w:r>
        <w:rPr>
          <w:rFonts w:hint="eastAsia" w:ascii="仿宋_GB2312" w:hAnsi="仿宋_GB2312" w:eastAsia="仿宋_GB2312" w:cs="仿宋_GB2312"/>
          <w:color w:val="000000"/>
          <w:sz w:val="32"/>
          <w:szCs w:val="32"/>
          <w:highlight w:val="none"/>
        </w:rPr>
        <w:t>电子版。</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签订承诺书。各区</w:t>
      </w:r>
      <w:r>
        <w:rPr>
          <w:rFonts w:hint="eastAsia" w:ascii="仿宋_GB2312" w:hAnsi="仿宋_GB2312" w:eastAsia="仿宋_GB2312" w:cs="仿宋_GB2312"/>
          <w:color w:val="000000"/>
          <w:sz w:val="32"/>
          <w:szCs w:val="32"/>
          <w:highlight w:val="none"/>
        </w:rPr>
        <w:t>组织</w:t>
      </w:r>
      <w:r>
        <w:rPr>
          <w:rFonts w:hint="eastAsia" w:ascii="仿宋_GB2312" w:hAnsi="仿宋_GB2312" w:eastAsia="仿宋_GB2312" w:cs="仿宋_GB2312"/>
          <w:color w:val="000000"/>
          <w:sz w:val="32"/>
          <w:szCs w:val="32"/>
          <w:highlight w:val="none"/>
          <w:lang w:eastAsia="zh-CN"/>
        </w:rPr>
        <w:t>辖区内各</w:t>
      </w:r>
      <w:r>
        <w:rPr>
          <w:rFonts w:hint="eastAsia" w:ascii="仿宋_GB2312" w:hAnsi="仿宋_GB2312" w:eastAsia="仿宋_GB2312" w:cs="仿宋_GB2312"/>
          <w:color w:val="000000"/>
          <w:sz w:val="32"/>
          <w:szCs w:val="32"/>
          <w:highlight w:val="none"/>
        </w:rPr>
        <w:t>单位签订《研发单位农业转基因生物安全承诺书》</w:t>
      </w:r>
      <w:r>
        <w:rPr>
          <w:rFonts w:hint="eastAsia" w:ascii="仿宋_GB2312" w:hAnsi="仿宋_GB2312" w:eastAsia="仿宋_GB2312" w:cs="仿宋_GB2312"/>
          <w:color w:val="000000"/>
          <w:sz w:val="32"/>
          <w:szCs w:val="32"/>
          <w:highlight w:val="none"/>
          <w:lang w:eastAsia="zh-CN"/>
        </w:rPr>
        <w:t>，同时组织各</w:t>
      </w:r>
      <w:r>
        <w:rPr>
          <w:rFonts w:hint="eastAsia" w:ascii="仿宋_GB2312" w:hAnsi="仿宋_GB2312" w:eastAsia="仿宋_GB2312" w:cs="仿宋_GB2312"/>
          <w:color w:val="000000"/>
          <w:sz w:val="32"/>
          <w:szCs w:val="32"/>
          <w:highlight w:val="none"/>
        </w:rPr>
        <w:t>单位从事农业转基因生物研究的项目负责人签订《项目负责人农业转基因生物安全承诺书》。</w:t>
      </w:r>
      <w:r>
        <w:rPr>
          <w:rFonts w:hint="eastAsia" w:ascii="仿宋_GB2312" w:hAnsi="仿宋_GB2312" w:eastAsia="仿宋_GB2312" w:cs="仿宋_GB2312"/>
          <w:color w:val="000000"/>
          <w:sz w:val="32"/>
          <w:szCs w:val="32"/>
          <w:highlight w:val="none"/>
          <w:lang w:eastAsia="zh-CN"/>
        </w:rPr>
        <w:t>由区农业农村局收齐汇总后，于</w:t>
      </w:r>
      <w:r>
        <w:rPr>
          <w:rFonts w:hint="eastAsia" w:ascii="仿宋_GB2312" w:hAnsi="仿宋_GB2312" w:eastAsia="仿宋_GB2312" w:cs="仿宋_GB2312"/>
          <w:color w:val="000000"/>
          <w:sz w:val="32"/>
          <w:szCs w:val="32"/>
          <w:highlight w:val="none"/>
          <w:lang w:val="en-US" w:eastAsia="zh-CN"/>
        </w:rPr>
        <w:t>5月31日前，</w:t>
      </w:r>
      <w:r>
        <w:rPr>
          <w:rFonts w:hint="eastAsia" w:ascii="仿宋_GB2312" w:hAnsi="仿宋_GB2312" w:eastAsia="仿宋_GB2312" w:cs="仿宋_GB2312"/>
          <w:color w:val="000000"/>
          <w:sz w:val="32"/>
          <w:szCs w:val="32"/>
          <w:highlight w:val="none"/>
          <w:lang w:eastAsia="zh-CN"/>
        </w:rPr>
        <w:t>统一报送市农业农村局。</w:t>
      </w:r>
    </w:p>
    <w:p>
      <w:pPr>
        <w:spacing w:line="560" w:lineRule="exact"/>
        <w:ind w:firstLine="640" w:firstLineChars="200"/>
        <w:rPr>
          <w:rFonts w:hint="eastAsia" w:ascii="楷体_GB2312" w:hAnsi="楷体_GB2312" w:eastAsia="楷体_GB2312" w:cs="楷体_GB2312"/>
          <w:b w:val="0"/>
          <w:bCs w:val="0"/>
          <w:color w:val="000000"/>
          <w:sz w:val="32"/>
          <w:szCs w:val="32"/>
          <w:highlight w:val="none"/>
        </w:rPr>
      </w:pPr>
      <w:r>
        <w:rPr>
          <w:rFonts w:hint="eastAsia" w:ascii="楷体_GB2312" w:hAnsi="楷体_GB2312" w:eastAsia="楷体_GB2312" w:cs="楷体_GB2312"/>
          <w:b w:val="0"/>
          <w:bCs w:val="0"/>
          <w:color w:val="000000"/>
          <w:sz w:val="32"/>
          <w:szCs w:val="32"/>
          <w:highlight w:val="none"/>
        </w:rPr>
        <w:t>（二）区级管理部门检查</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各区农业农村局要根据批复文件及监管方案制定年度检查计划</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对本</w:t>
      </w:r>
      <w:r>
        <w:rPr>
          <w:rFonts w:hint="eastAsia" w:ascii="仿宋_GB2312" w:hAnsi="仿宋_GB2312" w:eastAsia="仿宋_GB2312" w:cs="仿宋_GB2312"/>
          <w:color w:val="000000"/>
          <w:sz w:val="32"/>
          <w:szCs w:val="32"/>
          <w:highlight w:val="none"/>
          <w:lang w:eastAsia="zh-CN"/>
        </w:rPr>
        <w:t>辖区</w:t>
      </w:r>
      <w:r>
        <w:rPr>
          <w:rFonts w:hint="eastAsia" w:ascii="仿宋_GB2312" w:hAnsi="仿宋_GB2312" w:eastAsia="仿宋_GB2312" w:cs="仿宋_GB2312"/>
          <w:color w:val="000000"/>
          <w:sz w:val="32"/>
          <w:szCs w:val="32"/>
          <w:highlight w:val="none"/>
        </w:rPr>
        <w:t>内</w:t>
      </w:r>
      <w:r>
        <w:rPr>
          <w:rFonts w:hint="eastAsia" w:ascii="仿宋_GB2312" w:hAnsi="仿宋_GB2312" w:eastAsia="仿宋_GB2312" w:cs="仿宋_GB2312"/>
          <w:color w:val="000000"/>
          <w:sz w:val="32"/>
          <w:szCs w:val="32"/>
          <w:highlight w:val="none"/>
          <w:lang w:eastAsia="zh-CN"/>
        </w:rPr>
        <w:t>涉农科研育种单位的常规育种试验基地开展转基因成分抽检；对</w:t>
      </w:r>
      <w:r>
        <w:rPr>
          <w:rFonts w:hint="eastAsia" w:ascii="仿宋_GB2312" w:hAnsi="仿宋_GB2312" w:eastAsia="仿宋_GB2312" w:cs="仿宋_GB2312"/>
          <w:color w:val="000000"/>
          <w:sz w:val="32"/>
          <w:szCs w:val="32"/>
          <w:highlight w:val="none"/>
        </w:rPr>
        <w:t>本</w:t>
      </w:r>
      <w:r>
        <w:rPr>
          <w:rFonts w:hint="eastAsia" w:ascii="仿宋_GB2312" w:hAnsi="仿宋_GB2312" w:eastAsia="仿宋_GB2312" w:cs="仿宋_GB2312"/>
          <w:color w:val="000000"/>
          <w:sz w:val="32"/>
          <w:szCs w:val="32"/>
          <w:highlight w:val="none"/>
          <w:lang w:eastAsia="zh-CN"/>
        </w:rPr>
        <w:t>辖区</w:t>
      </w:r>
      <w:r>
        <w:rPr>
          <w:rFonts w:hint="eastAsia" w:ascii="仿宋_GB2312" w:hAnsi="仿宋_GB2312" w:eastAsia="仿宋_GB2312" w:cs="仿宋_GB2312"/>
          <w:color w:val="000000"/>
          <w:sz w:val="32"/>
          <w:szCs w:val="32"/>
          <w:highlight w:val="none"/>
        </w:rPr>
        <w:t>内开展的全部农业转基因安全评价试验</w:t>
      </w:r>
      <w:r>
        <w:rPr>
          <w:rFonts w:hint="eastAsia" w:ascii="仿宋_GB2312" w:hAnsi="仿宋_GB2312" w:eastAsia="仿宋_GB2312" w:cs="仿宋_GB2312"/>
          <w:color w:val="000000"/>
          <w:sz w:val="32"/>
          <w:szCs w:val="32"/>
          <w:highlight w:val="none"/>
          <w:lang w:eastAsia="zh-CN"/>
        </w:rPr>
        <w:t>项目</w:t>
      </w:r>
      <w:r>
        <w:rPr>
          <w:rFonts w:hint="eastAsia" w:ascii="仿宋_GB2312" w:hAnsi="仿宋_GB2312" w:eastAsia="仿宋_GB2312" w:cs="仿宋_GB2312"/>
          <w:color w:val="000000"/>
          <w:sz w:val="32"/>
          <w:szCs w:val="32"/>
          <w:highlight w:val="none"/>
        </w:rPr>
        <w:t>进行</w:t>
      </w:r>
      <w:r>
        <w:rPr>
          <w:rFonts w:hint="eastAsia" w:ascii="仿宋_GB2312" w:hAnsi="仿宋_GB2312" w:eastAsia="仿宋_GB2312" w:cs="仿宋_GB2312"/>
          <w:color w:val="000000"/>
          <w:sz w:val="32"/>
          <w:szCs w:val="32"/>
          <w:highlight w:val="none"/>
          <w:lang w:eastAsia="zh-CN"/>
        </w:rPr>
        <w:t>执法检查，其中</w:t>
      </w:r>
      <w:r>
        <w:rPr>
          <w:rFonts w:hint="eastAsia" w:ascii="仿宋_GB2312" w:hAnsi="仿宋_GB2312" w:eastAsia="仿宋_GB2312" w:cs="仿宋_GB2312"/>
          <w:color w:val="000000"/>
          <w:sz w:val="32"/>
          <w:szCs w:val="32"/>
          <w:highlight w:val="none"/>
        </w:rPr>
        <w:t>对转基因作物田间试验现场检查不低于4次（播种期、开花期、收获期、收获后）</w:t>
      </w:r>
      <w:r>
        <w:rPr>
          <w:rFonts w:hint="eastAsia" w:ascii="仿宋_GB2312" w:hAnsi="仿宋_GB2312" w:eastAsia="仿宋_GB2312" w:cs="仿宋_GB2312"/>
          <w:color w:val="000000"/>
          <w:sz w:val="32"/>
          <w:szCs w:val="32"/>
          <w:highlight w:val="none"/>
          <w:lang w:eastAsia="zh-CN"/>
        </w:rPr>
        <w:t>，对</w:t>
      </w:r>
      <w:r>
        <w:rPr>
          <w:rFonts w:hint="eastAsia" w:ascii="仿宋_GB2312" w:hAnsi="仿宋_GB2312" w:eastAsia="仿宋_GB2312" w:cs="仿宋_GB2312"/>
          <w:color w:val="000000"/>
          <w:sz w:val="32"/>
          <w:szCs w:val="32"/>
          <w:highlight w:val="none"/>
        </w:rPr>
        <w:t>转基因动物、微生物试验现场检查不低于2次（试验中、试验后）。</w:t>
      </w:r>
    </w:p>
    <w:p>
      <w:pPr>
        <w:spacing w:line="560" w:lineRule="exact"/>
        <w:ind w:firstLine="640" w:firstLineChars="200"/>
        <w:rPr>
          <w:rFonts w:hint="eastAsia" w:ascii="楷体_GB2312" w:hAnsi="楷体_GB2312" w:eastAsia="楷体_GB2312" w:cs="楷体_GB2312"/>
          <w:b w:val="0"/>
          <w:bCs w:val="0"/>
          <w:color w:val="000000"/>
          <w:sz w:val="32"/>
          <w:szCs w:val="32"/>
          <w:highlight w:val="none"/>
        </w:rPr>
      </w:pPr>
      <w:r>
        <w:rPr>
          <w:rFonts w:hint="eastAsia" w:ascii="楷体_GB2312" w:hAnsi="楷体_GB2312" w:eastAsia="楷体_GB2312" w:cs="楷体_GB2312"/>
          <w:b w:val="0"/>
          <w:bCs w:val="0"/>
          <w:color w:val="000000"/>
          <w:sz w:val="32"/>
          <w:szCs w:val="32"/>
          <w:highlight w:val="none"/>
        </w:rPr>
        <w:t>（三）市级管理部门督查</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市农业农村局</w:t>
      </w:r>
      <w:r>
        <w:rPr>
          <w:rFonts w:hint="eastAsia" w:ascii="仿宋_GB2312" w:hAnsi="仿宋_GB2312" w:eastAsia="仿宋_GB2312" w:cs="仿宋_GB2312"/>
          <w:color w:val="000000"/>
          <w:sz w:val="32"/>
          <w:szCs w:val="32"/>
          <w:highlight w:val="none"/>
        </w:rPr>
        <w:t>将适时组织开展督导检查工作。</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700D17-8520-4E10-A8F2-EA8655A029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8F380E1-21AB-4CE9-93C4-85A3597AA11D}"/>
  </w:font>
  <w:font w:name="华文中宋">
    <w:panose1 w:val="02010600040101010101"/>
    <w:charset w:val="86"/>
    <w:family w:val="auto"/>
    <w:pitch w:val="default"/>
    <w:sig w:usb0="00000287" w:usb1="080F0000" w:usb2="00000000" w:usb3="00000000" w:csb0="0004009F" w:csb1="DFD70000"/>
    <w:embedRegular r:id="rId3" w:fontKey="{52C80CC6-4F4A-4B22-BA67-3908EDA9583A}"/>
  </w:font>
  <w:font w:name="方正小标宋简体">
    <w:panose1 w:val="02000000000000000000"/>
    <w:charset w:val="86"/>
    <w:family w:val="auto"/>
    <w:pitch w:val="default"/>
    <w:sig w:usb0="00000001" w:usb1="08000000" w:usb2="00000000" w:usb3="00000000" w:csb0="00040000" w:csb1="00000000"/>
    <w:embedRegular r:id="rId4" w:fontKey="{E25B82A0-5E5D-475E-A2F5-22070162796B}"/>
  </w:font>
  <w:font w:name="仿宋_GB2312">
    <w:altName w:val="仿宋"/>
    <w:panose1 w:val="02010609030101010101"/>
    <w:charset w:val="86"/>
    <w:family w:val="modern"/>
    <w:pitch w:val="default"/>
    <w:sig w:usb0="00000000" w:usb1="00000000" w:usb2="00000000" w:usb3="00000000" w:csb0="00040000" w:csb1="00000000"/>
    <w:embedRegular r:id="rId5" w:fontKey="{96854B77-C445-40CF-AE74-2F4CE8036472}"/>
  </w:font>
  <w:font w:name="楷体_GB2312">
    <w:altName w:val="楷体"/>
    <w:panose1 w:val="02010609030101010101"/>
    <w:charset w:val="86"/>
    <w:family w:val="modern"/>
    <w:pitch w:val="default"/>
    <w:sig w:usb0="00000000" w:usb1="00000000" w:usb2="00000000" w:usb3="00000000" w:csb0="00040000" w:csb1="00000000"/>
    <w:embedRegular r:id="rId6" w:fontKey="{31DB7CC4-E71A-403F-9E7D-6ADB439858F8}"/>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3A0C0F59"/>
    <w:rsid w:val="3A0C0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uiPriority w:val="0"/>
    <w:pPr>
      <w:spacing w:after="120"/>
      <w:ind w:left="1440" w:leftChars="700" w:right="1440" w:rightChars="700"/>
    </w:pPr>
  </w:style>
  <w:style w:type="paragraph" w:customStyle="1" w:styleId="5">
    <w:name w:val="正文 New"/>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1179</Words>
  <Characters>1189</Characters>
  <Lines>0</Lines>
  <Paragraphs>0</Paragraphs>
  <TotalTime>0</TotalTime>
  <ScaleCrop>false</ScaleCrop>
  <LinksUpToDate>false</LinksUpToDate>
  <CharactersWithSpaces>1194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2023-05-25T06:25:00Z</dcterms:created>
  <dc:creator>友情提醒</dc:creator>
  <cp:lastModifiedBy>友情提醒</cp:lastModifiedBy>
  <dcterms:modified xsi:type="dcterms:W3CDTF">2023-05-25T06:26:17Z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CDAA2841DE7147919D91448D6808B9A6_11</vt:lpwstr>
  </property>
</Properties>
</file>