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center"/>
        <w:rPr>
          <w:rFonts w:hint="eastAsia"/>
        </w:rPr>
      </w:pPr>
      <w:r>
        <w:rPr>
          <w:rFonts w:hint="eastAsia" w:ascii="方正小标宋简体" w:hAnsi="方正小标宋简体" w:eastAsia="方正小标宋简体" w:cs="方正小标宋简体"/>
          <w:sz w:val="44"/>
          <w:szCs w:val="44"/>
        </w:rPr>
        <w:t>环京周边蔬菜生产基地遴选评分表</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4186"/>
        <w:gridCol w:w="641"/>
        <w:gridCol w:w="620"/>
        <w:gridCol w:w="1275"/>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序号</w:t>
            </w:r>
          </w:p>
        </w:tc>
        <w:tc>
          <w:tcPr>
            <w:tcW w:w="245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评定内容</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本项满分</w:t>
            </w: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分项满分</w:t>
            </w:r>
          </w:p>
        </w:tc>
        <w:tc>
          <w:tcPr>
            <w:tcW w:w="748" w:type="pct"/>
            <w:noWrap w:val="0"/>
            <w:vAlign w:val="center"/>
          </w:tcPr>
          <w:p>
            <w:pPr>
              <w:widowControl/>
              <w:spacing w:line="280" w:lineRule="exact"/>
              <w:jc w:val="center"/>
              <w:rPr>
                <w:rFonts w:hint="eastAsia"/>
              </w:rPr>
            </w:pPr>
            <w:r>
              <w:rPr>
                <w:rFonts w:hint="eastAsia"/>
              </w:rPr>
              <w:t>评定得分</w:t>
            </w: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2456" w:type="pct"/>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建设主体</w:t>
            </w:r>
          </w:p>
        </w:tc>
        <w:tc>
          <w:tcPr>
            <w:tcW w:w="376"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363"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具有独立法人资格，得1分。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其产品具有近三年有资质的农产品质量安全检测机构合格的检验报告，得4分。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近三年内未发生农产品质量安全监督抽查结果不合格，得4分。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1.4</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为省级以上农业农村主管部门或相关机构命名的龙头企业或合作社得1分。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2456" w:type="pct"/>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基地规模</w:t>
            </w:r>
          </w:p>
        </w:tc>
        <w:tc>
          <w:tcPr>
            <w:tcW w:w="376"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363"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规模符合要求（原则上不得低于300亩，其中设施蔬菜生产面积较大的，可适当放宽），得5分。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2456" w:type="pct"/>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产地环境</w:t>
            </w:r>
          </w:p>
        </w:tc>
        <w:tc>
          <w:tcPr>
            <w:tcW w:w="376"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363"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应远离污染区和自然灾害频发区，远离城区、工矿区、工业、生活垃圾场等污染源且交通便利，得5分。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2456" w:type="pct"/>
            <w:shd w:val="clear" w:color="auto" w:fill="D9D9D9"/>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设施设备</w:t>
            </w:r>
          </w:p>
        </w:tc>
        <w:tc>
          <w:tcPr>
            <w:tcW w:w="376"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w:t>
            </w:r>
          </w:p>
        </w:tc>
        <w:tc>
          <w:tcPr>
            <w:tcW w:w="363"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D9D9D9"/>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4.1</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标识明显且内容齐全，包括基地名称、范围、面积、地块分布图等，得2分。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vMerge w:val="restart"/>
            <w:noWrap w:val="0"/>
            <w:vAlign w:val="center"/>
          </w:tcPr>
          <w:p>
            <w:pPr>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4.2</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水、电、路等基础设施齐全，卫生设施完备，路面整洁平坦，得2分。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vMerge w:val="continue"/>
            <w:noWrap w:val="0"/>
            <w:vAlign w:val="center"/>
          </w:tcPr>
          <w:p>
            <w:pPr>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4.3</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具有或租赁与生产规模相配套的设备，满足耕种，植保；水肥；采收；分级包装等，每满足一项得1分，总分5分。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vMerge w:val="continue"/>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4.4</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建有与生产规模相配套的投入品存放库房，得2分；产品预冷贮存库房，得2分；废弃物处理等设施设备，得2分。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vMerge w:val="continue"/>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4.5</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建有产品质量检测室，得3分；配备相应的检测设备，且运行良好，得2分。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vMerge w:val="continue"/>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2456" w:type="pct"/>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组织管理</w:t>
            </w:r>
          </w:p>
        </w:tc>
        <w:tc>
          <w:tcPr>
            <w:tcW w:w="376"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363"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5.1</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主要负责人全面负责农产品质量安全工作，得2分；设置产品质量管理岗位、生产技术指导岗位得1分；配备具有相应资质的专职人员，得1分。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5.2</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编制了蔬菜种植关键环节的生产操作规程和产品质量控制措施（要求覆盖供应蔬菜品种），得5分。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5.3</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制度运行有效、人员配备合理、生产计划科学、生产过程规范、生产记录完整、应急保障措施到位，得3分。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2456" w:type="pct"/>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生产计划</w:t>
            </w:r>
          </w:p>
        </w:tc>
        <w:tc>
          <w:tcPr>
            <w:tcW w:w="376"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363"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6.1</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合理安排产品生产供应计划，有往年生产供应计划得2分；明确当年可供产品的主要品种、生产规模及其供应时段的供应量，有相关证明材料，得3分。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6.2</w:t>
            </w:r>
          </w:p>
        </w:tc>
        <w:tc>
          <w:tcPr>
            <w:tcW w:w="2456" w:type="pct"/>
            <w:noWrap w:val="0"/>
            <w:vAlign w:val="center"/>
          </w:tcPr>
          <w:p>
            <w:pPr>
              <w:widowControl/>
              <w:adjustRightInd w:val="0"/>
              <w:snapToGrid w:val="0"/>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具备专人专岗按时报送生产销售等信息的条件，得5分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2456" w:type="pct"/>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质量控制</w:t>
            </w:r>
          </w:p>
        </w:tc>
        <w:tc>
          <w:tcPr>
            <w:tcW w:w="376"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18</w:t>
            </w:r>
          </w:p>
        </w:tc>
        <w:tc>
          <w:tcPr>
            <w:tcW w:w="363"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安排专人负责投入品的采购、存放、使用及包装容器回收管理等工作，得2分；有投入品出入库、使用台账，且记录整齐清晰，得3分。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7.2</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购买的投入品有供货方的检验证书、产品合格证、登记证和出厂证，得3分。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7.3</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有明确的检测计划，得2分；能够对上市产品进行检测，得2分；检测记录完整清晰，得2分。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7.4</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生产记录完整，得2分；能够对蔬菜种植基地信息、投入品使用、病虫害防治等进行溯源管理，得2分。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2456" w:type="pct"/>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服务保障经历</w:t>
            </w:r>
          </w:p>
        </w:tc>
        <w:tc>
          <w:tcPr>
            <w:tcW w:w="376"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363"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近五年具有重大活动服务保障经历且均圆满完成服务保障任务的，每次得1分，总分5分。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c>
          <w:tcPr>
            <w:tcW w:w="2456" w:type="pct"/>
            <w:shd w:val="clear" w:color="auto" w:fill="CCCCCC"/>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企业荣誉</w:t>
            </w:r>
          </w:p>
        </w:tc>
        <w:tc>
          <w:tcPr>
            <w:tcW w:w="376"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363"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CCCCCC"/>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获得省级以上著名商标，得1分；通过GAP体系认证，得1分。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9.2</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具有绿色食品认证，得1分；具有有机产品认证，得1分；获得农产品地理标志认证，得1分。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shd w:val="clear" w:color="auto" w:fill="D7D7D7"/>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2456" w:type="pct"/>
            <w:shd w:val="clear" w:color="auto" w:fill="D7D7D7"/>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产品供应北京情况</w:t>
            </w:r>
          </w:p>
        </w:tc>
        <w:tc>
          <w:tcPr>
            <w:tcW w:w="376" w:type="pct"/>
            <w:shd w:val="clear" w:color="auto" w:fill="D7D7D7"/>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363" w:type="pct"/>
            <w:shd w:val="clear" w:color="auto" w:fill="D7D7D7"/>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748" w:type="pct"/>
            <w:shd w:val="clear" w:color="auto" w:fill="D7D7D7"/>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shd w:val="clear" w:color="auto" w:fill="D7D7D7"/>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10.1</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近三年日常供应北京情况，有，得2分，比例超过60%，5分。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10.2</w:t>
            </w:r>
          </w:p>
        </w:tc>
        <w:tc>
          <w:tcPr>
            <w:tcW w:w="2456" w:type="pct"/>
            <w:noWrap w:val="0"/>
            <w:vAlign w:val="center"/>
          </w:tcPr>
          <w:p>
            <w:pPr>
              <w:widowControl/>
              <w:spacing w:line="28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近三年应急状态下供应北京情况，有，得2分，比例达到80％以上，得5分</w:t>
            </w:r>
          </w:p>
        </w:tc>
        <w:tc>
          <w:tcPr>
            <w:tcW w:w="376"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363"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合计</w:t>
            </w:r>
          </w:p>
        </w:tc>
        <w:tc>
          <w:tcPr>
            <w:tcW w:w="3196" w:type="pct"/>
            <w:gridSpan w:val="3"/>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100分</w:t>
            </w:r>
          </w:p>
        </w:tc>
        <w:tc>
          <w:tcPr>
            <w:tcW w:w="748"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c>
          <w:tcPr>
            <w:tcW w:w="65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评定</w:t>
            </w:r>
          </w:p>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结论</w:t>
            </w:r>
          </w:p>
        </w:tc>
        <w:tc>
          <w:tcPr>
            <w:tcW w:w="4602" w:type="pct"/>
            <w:gridSpan w:val="5"/>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97" w:type="pct"/>
            <w:noWrap w:val="0"/>
            <w:vAlign w:val="center"/>
          </w:tcPr>
          <w:p>
            <w:pPr>
              <w:widowControl/>
              <w:spacing w:line="28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签字</w:t>
            </w:r>
          </w:p>
        </w:tc>
        <w:tc>
          <w:tcPr>
            <w:tcW w:w="4602" w:type="pct"/>
            <w:gridSpan w:val="5"/>
            <w:noWrap w:val="0"/>
            <w:vAlign w:val="center"/>
          </w:tcPr>
          <w:p>
            <w:pPr>
              <w:widowControl/>
              <w:spacing w:line="280" w:lineRule="exact"/>
              <w:jc w:val="center"/>
              <w:rPr>
                <w:rFonts w:hint="eastAsia" w:ascii="仿宋_GB2312" w:hAnsi="仿宋_GB2312" w:eastAsia="仿宋_GB2312" w:cs="仿宋_GB2312"/>
                <w:color w:val="000000"/>
                <w:kern w:val="0"/>
                <w:szCs w:val="21"/>
              </w:rPr>
            </w:pPr>
          </w:p>
        </w:tc>
      </w:tr>
    </w:tbl>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计分说明：</w:t>
      </w:r>
    </w:p>
    <w:p>
      <w:pPr>
        <w:adjustRightInd w:val="0"/>
        <w:snapToGrid w:val="0"/>
        <w:ind w:left="210" w:hanging="210" w:hangingChars="100"/>
        <w:rPr>
          <w:rFonts w:hint="eastAsia" w:ascii="仿宋_GB2312" w:hAnsi="仿宋_GB2312" w:eastAsia="仿宋_GB2312" w:cs="仿宋_GB2312"/>
          <w:szCs w:val="21"/>
        </w:rPr>
      </w:pPr>
      <w:r>
        <w:rPr>
          <w:rFonts w:hint="eastAsia" w:ascii="仿宋_GB2312" w:hAnsi="仿宋_GB2312" w:eastAsia="仿宋_GB2312" w:cs="仿宋_GB2312"/>
          <w:szCs w:val="21"/>
        </w:rPr>
        <w:t>1.满分100分，共分为10个大项，各大项分值为：建设主体10分；基地规模5分；产地环境5分；设施设备20分；组织管理12分；生产计划10分；质量控制18分；服务保障经历5分；企业荣誉5分；产品供应北京10分。通过对各项评定项目评分值加和计算获得基地综合得分。</w:t>
      </w:r>
    </w:p>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2.各项目的评定得分为专家打分，各项评定得分不得高于最高分值。</w:t>
      </w:r>
    </w:p>
    <w:p>
      <w:pPr>
        <w:adjustRightInd w:val="0"/>
        <w:snapToGrid w:val="0"/>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Cs w:val="21"/>
        </w:rPr>
        <w:t>3.否决项为必须达到指标，若不符合要求，一票否决</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757D2A-A922-4F57-8169-6A62AC3143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D1853B2-AFDD-4A35-9BAD-B8BCB41ED2A6}"/>
  </w:font>
  <w:font w:name="仿宋_GB2312">
    <w:altName w:val="仿宋"/>
    <w:panose1 w:val="02010609030101010101"/>
    <w:charset w:val="86"/>
    <w:family w:val="modern"/>
    <w:pitch w:val="default"/>
    <w:sig w:usb0="00000000" w:usb1="00000000" w:usb2="00000010" w:usb3="00000000" w:csb0="00040000" w:csb1="00000000"/>
    <w:embedRegular r:id="rId3" w:fontKey="{B0FBC3BF-659E-4C9B-B6A3-964BE8CC0069}"/>
  </w:font>
  <w:font w:name="方正小标宋简体">
    <w:panose1 w:val="02000000000000000000"/>
    <w:charset w:val="86"/>
    <w:family w:val="auto"/>
    <w:pitch w:val="default"/>
    <w:sig w:usb0="00000001" w:usb1="08000000" w:usb2="00000000" w:usb3="00000000" w:csb0="00040000" w:csb1="00000000"/>
    <w:embedRegular r:id="rId4" w:fontKey="{D032C02C-A746-412A-B166-92AA6D8D2A4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52C26AB8"/>
    <w:rsid w:val="52C2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0" w:line="560" w:lineRule="exact"/>
      <w:ind w:firstLine="640" w:firstLineChars="200"/>
    </w:pPr>
    <w:rPr>
      <w:rFonts w:eastAsia="仿宋_GB2312"/>
      <w:sz w:val="32"/>
    </w:rPr>
  </w:style>
  <w:style w:type="paragraph" w:customStyle="1" w:styleId="3">
    <w:name w:val="目录 11"/>
    <w:next w:val="1"/>
    <w:qFormat/>
    <w:uiPriority w:val="99"/>
    <w:pPr>
      <w:wordWrap w:val="0"/>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2023-02-24T03:37:00Z</dcterms:created>
  <dc:creator>友情提醒</dc:creator>
  <cp:lastModifiedBy>友情提醒</cp:lastModifiedBy>
  <dcterms:modified xsi:type="dcterms:W3CDTF">2023-02-24T03:37:50Z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7817F22D63824DF596A1609486EDF10B</vt:lpwstr>
  </property>
</Properties>
</file>