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北京市地方标准制修订项目申报书填写指南</w:t>
      </w:r>
    </w:p>
    <w:bookmarkEnd w:id="0"/>
    <w:p>
      <w:pPr>
        <w:rPr>
          <w:rFonts w:hint="eastAsia" w:ascii="宋体" w:hAnsi="宋体" w:eastAsia="宋体"/>
          <w:sz w:val="18"/>
          <w:szCs w:val="18"/>
        </w:rPr>
      </w:pP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项目类别</w:t>
      </w:r>
    </w:p>
    <w:p>
      <w:pPr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1）一类项目为制定项目。申报一类项目应以充分的研究成果为基础，应已形成具有详细技术内容的标准草案。二类项目在研究过程中取得成果，形成标准草案的，可申报为下一年度的一类项目。鼓励所有标准项目通过二类项目转为一类项目，在确定立项时优先考虑。</w:t>
      </w:r>
    </w:p>
    <w:p>
      <w:pPr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（2）二类项目为研究项目。</w:t>
      </w:r>
    </w:p>
    <w:p>
      <w:pPr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原二类项目编号：已经立项为二类的项目填写。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涉及领域：</w:t>
      </w:r>
      <w:r>
        <w:rPr>
          <w:rFonts w:hint="eastAsia" w:ascii="仿宋_GB2312" w:hAnsi="宋体"/>
          <w:bCs/>
          <w:szCs w:val="32"/>
        </w:rPr>
        <w:t>一项标准涉及</w:t>
      </w:r>
      <w:r>
        <w:rPr>
          <w:rFonts w:hint="eastAsia" w:ascii="仿宋_GB2312" w:hAnsi="宋体"/>
          <w:bCs/>
          <w:szCs w:val="32"/>
          <w:lang w:eastAsia="zh-CN"/>
        </w:rPr>
        <w:t>的</w:t>
      </w:r>
      <w:r>
        <w:rPr>
          <w:rFonts w:hint="eastAsia" w:ascii="仿宋_GB2312" w:hAnsi="宋体"/>
          <w:bCs/>
          <w:szCs w:val="32"/>
        </w:rPr>
        <w:t>领域，</w:t>
      </w:r>
      <w:r>
        <w:rPr>
          <w:rFonts w:hint="eastAsia" w:ascii="仿宋_GB2312" w:hAnsi="宋体"/>
          <w:bCs/>
          <w:szCs w:val="32"/>
          <w:lang w:eastAsia="zh-CN"/>
        </w:rPr>
        <w:t>为单</w:t>
      </w:r>
      <w:r>
        <w:rPr>
          <w:rFonts w:hint="eastAsia" w:ascii="仿宋_GB2312" w:hAnsi="宋体"/>
          <w:bCs/>
          <w:szCs w:val="32"/>
        </w:rPr>
        <w:t>选。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标准性质</w:t>
      </w:r>
    </w:p>
    <w:p>
      <w:pPr>
        <w:tabs>
          <w:tab w:val="left" w:pos="900"/>
        </w:tabs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（1）强制性：</w:t>
      </w:r>
      <w:r>
        <w:rPr>
          <w:rFonts w:hint="eastAsia" w:ascii="仿宋_GB2312" w:hAnsi="宋体"/>
          <w:bCs/>
          <w:szCs w:val="32"/>
          <w:lang w:eastAsia="zh-CN"/>
        </w:rPr>
        <w:t>法律、行政</w:t>
      </w:r>
      <w:r>
        <w:rPr>
          <w:rFonts w:hint="eastAsia" w:ascii="仿宋_GB2312" w:hAnsi="宋体"/>
          <w:bCs/>
          <w:szCs w:val="32"/>
        </w:rPr>
        <w:t>法规</w:t>
      </w:r>
      <w:r>
        <w:rPr>
          <w:rFonts w:hint="eastAsia" w:ascii="仿宋_GB2312" w:hAnsi="宋体"/>
          <w:bCs/>
          <w:szCs w:val="32"/>
          <w:lang w:eastAsia="zh-CN"/>
        </w:rPr>
        <w:t>、国务院决定</w:t>
      </w:r>
      <w:r>
        <w:rPr>
          <w:rFonts w:hint="eastAsia" w:ascii="仿宋_GB2312" w:hAnsi="宋体"/>
          <w:bCs/>
          <w:szCs w:val="32"/>
        </w:rPr>
        <w:t>有特殊规定的可以申请制定强制性标准。</w:t>
      </w:r>
    </w:p>
    <w:p>
      <w:pPr>
        <w:tabs>
          <w:tab w:val="left" w:pos="900"/>
        </w:tabs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（2）推荐性：绝大多数标准均应申请制定推荐性标准，由各标准相关方自愿采用。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必要性：</w:t>
      </w:r>
      <w:r>
        <w:rPr>
          <w:rFonts w:hint="eastAsia" w:ascii="仿宋_GB2312" w:hAnsi="宋体"/>
          <w:bCs/>
          <w:szCs w:val="32"/>
        </w:rPr>
        <w:t>阐明立项的必要性，不少于1000字。说明标准是否在全市范围内具有普遍性，涉及全市性的关键共性技术，不属于部门内部规范，标准的实施主体具有广泛的社会性；标准涉及的内容是否属于本市经济或社会发展的重点领域；是否列入本市各行业重点工作任务；是否列入市政府折子工程或年度重点工作任务；是否能够通过制定该标准解决本市发展或管理中的难点问题等。北京市科技发展计划支持的研究项目、需要为本市重大项目建设提供配套技术支撑的标准项目、地方标准复审确认需要修订的项目，重点纳入地方标准立项范畴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可行性：</w:t>
      </w:r>
      <w:r>
        <w:rPr>
          <w:rFonts w:hint="eastAsia" w:ascii="仿宋_GB2312" w:hAnsi="宋体"/>
          <w:bCs/>
          <w:szCs w:val="32"/>
        </w:rPr>
        <w:t>阐明标准是否已经具备在全市范围内统一实施该标准的经济基础、社会基础以及技术基础，不少于1000字。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范围及主要技术内容：</w:t>
      </w:r>
      <w:r>
        <w:rPr>
          <w:rFonts w:hint="eastAsia" w:ascii="仿宋_GB2312" w:hAnsi="宋体"/>
          <w:bCs/>
          <w:szCs w:val="32"/>
        </w:rPr>
        <w:t>阐明标准的范围及主要技术内容，给出标准的框架结构。应注意标准规定的内容必须是技术要求，即便是管理类的地方标准也应当是实现管理中的技术要求。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所属标准体系情况：</w:t>
      </w:r>
      <w:r>
        <w:rPr>
          <w:rFonts w:hint="eastAsia" w:ascii="仿宋_GB2312" w:hAnsi="宋体"/>
          <w:bCs/>
          <w:szCs w:val="32"/>
        </w:rPr>
        <w:t>阐明标准隶属于哪个行业或领域的标准体系，以及处于标准体系中的哪个具体层级。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主要强制的内容：</w:t>
      </w:r>
      <w:r>
        <w:rPr>
          <w:rFonts w:hint="eastAsia" w:ascii="仿宋_GB2312" w:hAnsi="宋体"/>
          <w:bCs/>
          <w:szCs w:val="32"/>
        </w:rPr>
        <w:t>阐明要进行强制的主要条款或主要技术指标项。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强制的理由：</w:t>
      </w:r>
      <w:r>
        <w:rPr>
          <w:rFonts w:hint="eastAsia" w:ascii="仿宋_GB2312" w:hAnsi="宋体"/>
          <w:bCs/>
          <w:szCs w:val="32"/>
        </w:rPr>
        <w:t>阐明强制的法律法规依据名称、具体条款内容和强制的必要性，不少于1000字。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强制性标准实施风险评估：</w:t>
      </w:r>
      <w:r>
        <w:rPr>
          <w:rFonts w:hint="eastAsia" w:ascii="仿宋_GB2312" w:hAnsi="宋体"/>
          <w:bCs/>
          <w:szCs w:val="32"/>
        </w:rPr>
        <w:t>评估强制性标准实施后可能产生的经济影响、社会影响以及社会承受度等，初步提出风险点、风险等级以及如何防范和应对这些风险的措施和预案，不少于500字。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法律法规依据：</w:t>
      </w:r>
      <w:r>
        <w:rPr>
          <w:rFonts w:hint="eastAsia" w:ascii="仿宋_GB2312" w:hAnsi="宋体"/>
          <w:bCs/>
          <w:szCs w:val="32"/>
        </w:rPr>
        <w:t>列出制定该标准的法律、法规、规章、规范性文件等依据的名称、文号以及具体条款规定内容，以及政府文件中提出的明确的工作任务等，并说明本标准与这些依据之间的关系。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与国内外相关标准的内容异同：</w:t>
      </w:r>
      <w:r>
        <w:rPr>
          <w:rFonts w:hint="eastAsia" w:ascii="仿宋_GB2312" w:hAnsi="宋体"/>
          <w:bCs/>
          <w:szCs w:val="32"/>
        </w:rPr>
        <w:t>所制定的标准应没有相应的国家标准、行业标准、北京市地方标准，法律、法规另有规定的从其规定。未被纳入国家标准、行业标准、北京市地方标准制修订计划。如果已有相应的标准或计划而又确需申请地方标准立项的，应阐明与相应标准或计划的本质性区别，详细说明确需立项的理由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工作计划：</w:t>
      </w:r>
      <w:r>
        <w:rPr>
          <w:rFonts w:hint="eastAsia" w:ascii="仿宋_GB2312" w:hAnsi="宋体"/>
          <w:bCs/>
          <w:szCs w:val="32"/>
        </w:rPr>
        <w:t>列出包括起草、征求意见、送审、报批等环节在内的工作进度计划，一类项目应在立项次年11月30日前完成标准从起草到报批的全部工作，二类项目应在立项次年11月30日前完成标准研究和转一类项目的立项申请工作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保障措施：</w:t>
      </w:r>
      <w:r>
        <w:rPr>
          <w:rFonts w:hint="eastAsia" w:ascii="仿宋_GB2312" w:hAnsi="宋体"/>
          <w:bCs/>
          <w:szCs w:val="32"/>
        </w:rPr>
        <w:t>阐明主要起草单位为标准编制提供的人力、物力、财力保障。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color w:val="FF0000"/>
          <w:szCs w:val="32"/>
        </w:rPr>
      </w:pPr>
      <w:r>
        <w:rPr>
          <w:rFonts w:hint="eastAsia" w:ascii="仿宋_GB2312" w:hAnsi="宋体"/>
          <w:b/>
          <w:bCs/>
          <w:color w:val="FF0000"/>
          <w:szCs w:val="32"/>
        </w:rPr>
        <w:t>经费是否落实：</w:t>
      </w:r>
      <w:r>
        <w:rPr>
          <w:rFonts w:hint="eastAsia" w:ascii="仿宋_GB2312" w:hAnsi="宋体"/>
          <w:bCs/>
          <w:color w:val="FF0000"/>
          <w:szCs w:val="32"/>
        </w:rPr>
        <w:t>确认能够提供或已获得标准调查研究、试验验证、起草、征求意见、审查、宣贯培训、实施评估等所需的全部经费。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与相关部门、相关行业协调的情况及意见：</w:t>
      </w:r>
      <w:r>
        <w:rPr>
          <w:rFonts w:hint="eastAsia" w:ascii="仿宋_GB2312" w:hAnsi="宋体"/>
          <w:bCs/>
          <w:szCs w:val="32"/>
        </w:rPr>
        <w:t>标准涉及多个相关部门、相关行业的，应与相关部门进行协调并达成一致意见，在此阐明具体协调情况，并将征求意见的复函或协调会会议纪要作为项目申报书的附件。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有关研究基础和前期研究成果：</w:t>
      </w:r>
      <w:r>
        <w:rPr>
          <w:rFonts w:hint="eastAsia" w:ascii="仿宋_GB2312" w:hAnsi="宋体"/>
          <w:bCs/>
          <w:szCs w:val="32"/>
        </w:rPr>
        <w:t>阐明已进行过的与本标准相关的科研课题或调查研究的主要内容，并将科研报告或调研报告作为项目申报书的附件。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sz w:val="36"/>
          <w:szCs w:val="36"/>
        </w:rPr>
      </w:pPr>
      <w:r>
        <w:rPr>
          <w:rFonts w:hint="eastAsia" w:ascii="仿宋_GB2312" w:hAnsi="宋体"/>
          <w:b/>
          <w:bCs/>
          <w:szCs w:val="32"/>
        </w:rPr>
        <w:t>必要的试验验证数据及统计分析：</w:t>
      </w:r>
      <w:r>
        <w:rPr>
          <w:rFonts w:hint="eastAsia" w:ascii="仿宋_GB2312" w:hAnsi="宋体"/>
          <w:bCs/>
          <w:szCs w:val="32"/>
        </w:rPr>
        <w:t>给出已进行过的与本标准相关的试验验证和统计分析的结果，并将试验报告和统计分析报告作为项目申报书的附件。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标准是否涉及专利、商标等知识产权问题：</w:t>
      </w:r>
      <w:r>
        <w:rPr>
          <w:rFonts w:hint="eastAsia" w:ascii="仿宋_GB2312" w:hAnsi="宋体"/>
          <w:bCs/>
          <w:szCs w:val="32"/>
        </w:rPr>
        <w:t>不涉及的填写“否”。涉及的，填写专利、商标名称、持有人名称、证书编号。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sz w:val="36"/>
          <w:szCs w:val="36"/>
        </w:rPr>
      </w:pPr>
      <w:r>
        <w:rPr>
          <w:rFonts w:hint="eastAsia" w:ascii="仿宋_GB2312" w:hAnsi="宋体"/>
          <w:b/>
          <w:bCs/>
          <w:szCs w:val="32"/>
        </w:rPr>
        <w:t>主要起草人员：</w:t>
      </w:r>
      <w:r>
        <w:rPr>
          <w:rFonts w:hint="eastAsia" w:ascii="仿宋_GB2312" w:hAnsi="宋体"/>
          <w:bCs/>
          <w:szCs w:val="32"/>
        </w:rPr>
        <w:t>主要起草人员组成应包括标准各主要相关方的代表，分工应明确。可由科研机构、检验检测机构、企业、行业协会等组成，应包括具有标准化工作经历的人员，特别是具有标准编写工作经历的人员。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1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主要起草单位：</w:t>
      </w:r>
      <w:r>
        <w:rPr>
          <w:rFonts w:hint="eastAsia" w:ascii="仿宋_GB2312" w:hAnsi="宋体"/>
          <w:bCs/>
          <w:szCs w:val="32"/>
        </w:rPr>
        <w:t>由本标准的牵头起草单位签署同意申报立项的意见，并加盖单位公章。</w:t>
      </w:r>
      <w:r>
        <w:rPr>
          <w:rFonts w:hint="eastAsia" w:ascii="仿宋_GB2312" w:hAnsi="宋体"/>
          <w:bCs/>
          <w:szCs w:val="32"/>
          <w:lang w:eastAsia="zh-CN"/>
        </w:rPr>
        <w:t>该单位不应有往年未完成地方标准项目。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600" w:lineRule="exact"/>
        <w:ind w:left="0" w:firstLine="641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b/>
          <w:bCs/>
          <w:szCs w:val="32"/>
        </w:rPr>
        <w:t>主管部门及组织实施单位：</w:t>
      </w:r>
      <w:r>
        <w:rPr>
          <w:rFonts w:hint="eastAsia" w:ascii="仿宋_GB2312" w:hAnsi="宋体"/>
          <w:bCs/>
          <w:szCs w:val="32"/>
        </w:rPr>
        <w:t>由本标准的行业主管部门签署同意申报立项的意见，并加盖单位公章。组织实施单位与行业主管部门不一致的（组织实施单位限于</w:t>
      </w:r>
      <w:r>
        <w:rPr>
          <w:rFonts w:hint="eastAsia" w:ascii="仿宋_GB2312" w:hAnsi="宋体"/>
          <w:szCs w:val="32"/>
        </w:rPr>
        <w:t>本市有关行政主管部门）</w:t>
      </w:r>
      <w:r>
        <w:rPr>
          <w:rFonts w:hint="eastAsia" w:ascii="仿宋_GB2312" w:hAnsi="宋体"/>
          <w:bCs/>
          <w:szCs w:val="32"/>
        </w:rPr>
        <w:t>，应在项目申报书单独增加“组织实施单位”栏目，由组织实施单位签署同意申报立项的意见并加盖单位公章。</w:t>
      </w:r>
      <w:r>
        <w:rPr>
          <w:rFonts w:hint="eastAsia" w:ascii="仿宋_GB2312" w:hAnsi="宋体"/>
          <w:bCs/>
          <w:sz w:val="32"/>
          <w:szCs w:val="32"/>
          <w:lang w:eastAsia="zh-CN"/>
        </w:rPr>
        <w:t>涉及多个部门的，可增加对应栏目。</w:t>
      </w:r>
    </w:p>
    <w:p>
      <w:pPr>
        <w:jc w:val="center"/>
        <w:rPr>
          <w:rFonts w:hint="eastAsia" w:ascii="宋体" w:hAnsi="宋体" w:eastAsia="宋体"/>
          <w:szCs w:val="32"/>
        </w:rPr>
      </w:pPr>
    </w:p>
    <w:p/>
    <w:sectPr>
      <w:pgSz w:w="11906" w:h="16838"/>
      <w:pgMar w:top="1758" w:right="1531" w:bottom="1418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BCA"/>
    <w:multiLevelType w:val="multilevel"/>
    <w:tmpl w:val="334C2BCA"/>
    <w:lvl w:ilvl="0" w:tentative="0">
      <w:start w:val="1"/>
      <w:numFmt w:val="lowerLetter"/>
      <w:lvlText w:val="%1)"/>
      <w:lvlJc w:val="left"/>
      <w:pPr>
        <w:tabs>
          <w:tab w:val="left" w:pos="1065"/>
        </w:tabs>
        <w:ind w:left="1065" w:hanging="42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785" w:hanging="720"/>
      </w:pPr>
      <w:rPr>
        <w:rFonts w:hint="eastAsia" w:ascii="仿宋_GB2312" w:eastAsia="仿宋_GB2312"/>
        <w:b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24082"/>
    <w:rsid w:val="3F324082"/>
    <w:rsid w:val="45371718"/>
    <w:rsid w:val="539C5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2021-09-09T07:20:00Z</dcterms:created>
  <dc:creator>user</dc:creator>
  <cp:lastModifiedBy>user</cp:lastModifiedBy>
  <dcterms:modified xsi:type="dcterms:W3CDTF">2021-09-09T07:26:40Z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