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4C" w:rsidRPr="004350FB" w:rsidRDefault="00C42D4C" w:rsidP="00C42D4C">
      <w:pPr>
        <w:jc w:val="center"/>
        <w:rPr>
          <w:rFonts w:ascii="宋体" w:hAnsi="宋体"/>
          <w:b/>
          <w:color w:val="000000" w:themeColor="text1"/>
          <w:sz w:val="36"/>
          <w:szCs w:val="36"/>
        </w:rPr>
      </w:pPr>
      <w:r w:rsidRPr="004350FB">
        <w:rPr>
          <w:rFonts w:ascii="宋体" w:hAnsi="宋体" w:hint="eastAsia"/>
          <w:b/>
          <w:color w:val="000000" w:themeColor="text1"/>
          <w:sz w:val="36"/>
          <w:szCs w:val="36"/>
        </w:rPr>
        <w:t>农业技术系列</w:t>
      </w:r>
      <w:r w:rsidR="00E6370D" w:rsidRPr="004350FB">
        <w:rPr>
          <w:rFonts w:ascii="宋体" w:hAnsi="宋体" w:hint="eastAsia"/>
          <w:b/>
          <w:color w:val="000000" w:themeColor="text1"/>
          <w:sz w:val="36"/>
          <w:szCs w:val="36"/>
        </w:rPr>
        <w:t>初</w:t>
      </w:r>
      <w:r w:rsidRPr="004350FB">
        <w:rPr>
          <w:rFonts w:ascii="宋体" w:hAnsi="宋体" w:hint="eastAsia"/>
          <w:b/>
          <w:color w:val="000000" w:themeColor="text1"/>
          <w:sz w:val="36"/>
          <w:szCs w:val="36"/>
        </w:rPr>
        <w:t>级专业技术资格评审申报条件</w:t>
      </w:r>
    </w:p>
    <w:p w:rsidR="00C42D4C" w:rsidRPr="004350FB" w:rsidRDefault="00C42D4C" w:rsidP="00C42D4C">
      <w:pPr>
        <w:ind w:firstLineChars="200" w:firstLine="560"/>
        <w:rPr>
          <w:rFonts w:ascii="仿宋" w:eastAsia="仿宋" w:hAnsi="仿宋"/>
          <w:color w:val="000000" w:themeColor="text1"/>
          <w:sz w:val="28"/>
          <w:szCs w:val="28"/>
        </w:rPr>
      </w:pPr>
    </w:p>
    <w:p w:rsidR="00C42D4C" w:rsidRPr="00364643" w:rsidRDefault="00C42D4C" w:rsidP="00C42D4C">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一、专业范围</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1550"/>
        <w:gridCol w:w="1276"/>
        <w:gridCol w:w="3119"/>
        <w:gridCol w:w="1426"/>
      </w:tblGrid>
      <w:tr w:rsidR="004350FB" w:rsidRPr="004350FB" w:rsidTr="00215703">
        <w:trPr>
          <w:trHeight w:val="664"/>
          <w:jc w:val="center"/>
        </w:trPr>
        <w:tc>
          <w:tcPr>
            <w:tcW w:w="1280" w:type="dxa"/>
            <w:vAlign w:val="center"/>
          </w:tcPr>
          <w:p w:rsidR="00C42D4C" w:rsidRPr="004350FB" w:rsidRDefault="00C42D4C" w:rsidP="00822D99">
            <w:pPr>
              <w:jc w:val="center"/>
              <w:rPr>
                <w:b/>
                <w:color w:val="000000" w:themeColor="text1"/>
              </w:rPr>
            </w:pPr>
            <w:r w:rsidRPr="004350FB">
              <w:rPr>
                <w:rFonts w:hint="eastAsia"/>
                <w:b/>
                <w:color w:val="000000" w:themeColor="text1"/>
              </w:rPr>
              <w:t>评委会名称</w:t>
            </w:r>
          </w:p>
        </w:tc>
        <w:tc>
          <w:tcPr>
            <w:tcW w:w="1550" w:type="dxa"/>
            <w:vAlign w:val="center"/>
          </w:tcPr>
          <w:p w:rsidR="00215703" w:rsidRDefault="00C42D4C" w:rsidP="00822D99">
            <w:pPr>
              <w:jc w:val="center"/>
              <w:rPr>
                <w:b/>
                <w:color w:val="000000" w:themeColor="text1"/>
              </w:rPr>
            </w:pPr>
            <w:r w:rsidRPr="004350FB">
              <w:rPr>
                <w:rFonts w:hint="eastAsia"/>
                <w:b/>
                <w:color w:val="000000" w:themeColor="text1"/>
              </w:rPr>
              <w:t>专业技术</w:t>
            </w:r>
          </w:p>
          <w:p w:rsidR="00C42D4C" w:rsidRPr="004350FB" w:rsidRDefault="00C42D4C" w:rsidP="00822D99">
            <w:pPr>
              <w:jc w:val="center"/>
              <w:rPr>
                <w:b/>
                <w:color w:val="000000" w:themeColor="text1"/>
              </w:rPr>
            </w:pPr>
            <w:r w:rsidRPr="004350FB">
              <w:rPr>
                <w:rFonts w:hint="eastAsia"/>
                <w:b/>
                <w:color w:val="000000" w:themeColor="text1"/>
              </w:rPr>
              <w:t>等级</w:t>
            </w:r>
          </w:p>
        </w:tc>
        <w:tc>
          <w:tcPr>
            <w:tcW w:w="1276" w:type="dxa"/>
            <w:vAlign w:val="center"/>
          </w:tcPr>
          <w:p w:rsidR="00C42D4C" w:rsidRPr="004350FB" w:rsidRDefault="00C42D4C" w:rsidP="00822D99">
            <w:pPr>
              <w:jc w:val="center"/>
              <w:rPr>
                <w:b/>
                <w:color w:val="000000" w:themeColor="text1"/>
              </w:rPr>
            </w:pPr>
            <w:r w:rsidRPr="004350FB">
              <w:rPr>
                <w:rFonts w:hint="eastAsia"/>
                <w:b/>
                <w:color w:val="000000" w:themeColor="text1"/>
              </w:rPr>
              <w:t>专业名称</w:t>
            </w:r>
          </w:p>
        </w:tc>
        <w:tc>
          <w:tcPr>
            <w:tcW w:w="3119" w:type="dxa"/>
            <w:vAlign w:val="center"/>
          </w:tcPr>
          <w:p w:rsidR="00C42D4C" w:rsidRPr="004350FB" w:rsidRDefault="00C42D4C" w:rsidP="00822D99">
            <w:pPr>
              <w:jc w:val="center"/>
              <w:rPr>
                <w:b/>
                <w:color w:val="000000" w:themeColor="text1"/>
              </w:rPr>
            </w:pPr>
            <w:r w:rsidRPr="004350FB">
              <w:rPr>
                <w:rFonts w:hint="eastAsia"/>
                <w:b/>
                <w:color w:val="000000" w:themeColor="text1"/>
              </w:rPr>
              <w:t>专业描述</w:t>
            </w:r>
          </w:p>
        </w:tc>
        <w:tc>
          <w:tcPr>
            <w:tcW w:w="1426" w:type="dxa"/>
            <w:vAlign w:val="center"/>
          </w:tcPr>
          <w:p w:rsidR="00C42D4C" w:rsidRPr="004350FB" w:rsidRDefault="00C42D4C" w:rsidP="00822D99">
            <w:pPr>
              <w:jc w:val="center"/>
              <w:rPr>
                <w:b/>
                <w:color w:val="000000" w:themeColor="text1"/>
              </w:rPr>
            </w:pPr>
            <w:r w:rsidRPr="004350FB">
              <w:rPr>
                <w:rFonts w:hint="eastAsia"/>
                <w:b/>
                <w:color w:val="000000" w:themeColor="text1"/>
              </w:rPr>
              <w:t>证书打印专业名称</w:t>
            </w:r>
          </w:p>
        </w:tc>
      </w:tr>
      <w:tr w:rsidR="004350FB" w:rsidRPr="004350FB" w:rsidTr="00215703">
        <w:trPr>
          <w:trHeight w:val="1005"/>
          <w:jc w:val="center"/>
        </w:trPr>
        <w:tc>
          <w:tcPr>
            <w:tcW w:w="1280" w:type="dxa"/>
            <w:vMerge w:val="restart"/>
            <w:vAlign w:val="center"/>
          </w:tcPr>
          <w:p w:rsidR="00C42D4C" w:rsidRPr="004350FB" w:rsidRDefault="00C42D4C" w:rsidP="00822D99">
            <w:pPr>
              <w:jc w:val="center"/>
              <w:rPr>
                <w:color w:val="000000" w:themeColor="text1"/>
              </w:rPr>
            </w:pPr>
            <w:r w:rsidRPr="004350FB">
              <w:rPr>
                <w:rFonts w:hint="eastAsia"/>
                <w:color w:val="000000" w:themeColor="text1"/>
              </w:rPr>
              <w:t>北京市农业技术系列</w:t>
            </w:r>
            <w:r w:rsidR="00624300" w:rsidRPr="004350FB">
              <w:rPr>
                <w:rFonts w:hint="eastAsia"/>
                <w:color w:val="000000" w:themeColor="text1"/>
              </w:rPr>
              <w:t>初级</w:t>
            </w:r>
            <w:r w:rsidRPr="004350FB">
              <w:rPr>
                <w:rFonts w:hint="eastAsia"/>
                <w:color w:val="000000" w:themeColor="text1"/>
              </w:rPr>
              <w:t>专业技术资格评审委员会</w:t>
            </w:r>
          </w:p>
        </w:tc>
        <w:tc>
          <w:tcPr>
            <w:tcW w:w="1550" w:type="dxa"/>
            <w:vMerge w:val="restart"/>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农艺师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农学</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从事粮食、油料等大田作物栽培、育种技术的应用、研究与推广等专业工作。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农学</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园艺</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从事蔬菜、瓜类等其他经济作物栽培、育种技术的应用、研究与推广等专业工作。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园艺</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植物保护</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从事农作物病虫害防治、农药研制与使用等专业工作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植物保护</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土肥</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从事土壤肥料技术、生态农业技术的研究、应用与推广等专业工作。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土肥</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畜牧师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畜牧</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从事动物品种改良、繁殖、饲养，饲料的研制与使用技术的研究、应用与推广等专业工作。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畜牧</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兽医师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兽医</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从事动物疫病防控、疫情监测、疾病诊断治疗，兽药研制与使用技术的研究、应用与推广等专业工作。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兽医</w:t>
            </w:r>
          </w:p>
        </w:tc>
      </w:tr>
    </w:tbl>
    <w:p w:rsidR="00C42D4C" w:rsidRPr="004350FB" w:rsidRDefault="00C42D4C" w:rsidP="00C42D4C">
      <w:pPr>
        <w:rPr>
          <w:color w:val="000000" w:themeColor="text1"/>
        </w:rPr>
      </w:pPr>
    </w:p>
    <w:p w:rsidR="00C42D4C" w:rsidRPr="00364643" w:rsidRDefault="00C42D4C" w:rsidP="00364643">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二、申报条件</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在北京地区工作，与单位确立了人事、劳动关系的专业技术人员，符合下列条件，均可申报</w:t>
      </w:r>
      <w:r w:rsidRPr="004350FB">
        <w:rPr>
          <w:rFonts w:ascii="仿宋" w:eastAsia="仿宋" w:hAnsi="仿宋" w:hint="eastAsia"/>
          <w:color w:val="000000" w:themeColor="text1"/>
          <w:sz w:val="28"/>
          <w:szCs w:val="28"/>
        </w:rPr>
        <w:t>本专业评委会</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农艺师、</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畜牧师、</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兽医师</w:t>
      </w:r>
      <w:r w:rsidRPr="004350FB">
        <w:rPr>
          <w:rFonts w:ascii="仿宋" w:eastAsia="仿宋" w:hAnsi="仿宋"/>
          <w:color w:val="000000" w:themeColor="text1"/>
          <w:sz w:val="28"/>
          <w:szCs w:val="28"/>
        </w:rPr>
        <w:t>专业技术资格</w:t>
      </w:r>
      <w:r w:rsidRPr="004350FB">
        <w:rPr>
          <w:rFonts w:ascii="仿宋" w:eastAsia="仿宋" w:hAnsi="仿宋" w:hint="eastAsia"/>
          <w:color w:val="000000" w:themeColor="text1"/>
          <w:sz w:val="28"/>
          <w:szCs w:val="28"/>
        </w:rPr>
        <w:t>评审。</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1、基本要求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申报人须遵守中华人民共和国宪法和法律，具有良好的职业道德。</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2</w:t>
      </w:r>
      <w:r w:rsidRPr="00BE3A50">
        <w:rPr>
          <w:rFonts w:ascii="楷体_GB2312" w:eastAsia="楷体_GB2312" w:hAnsi="仿宋"/>
          <w:color w:val="000000" w:themeColor="text1"/>
          <w:sz w:val="28"/>
          <w:szCs w:val="28"/>
        </w:rPr>
        <w:t>、对业务能力的要求</w:t>
      </w:r>
    </w:p>
    <w:p w:rsidR="0049601F" w:rsidRPr="004350FB" w:rsidRDefault="0049601F" w:rsidP="00C42D4C">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掌握本专业的基础理论知识和专业技术知识，具有独立完成一般</w:t>
      </w:r>
      <w:r w:rsidRPr="004350FB">
        <w:rPr>
          <w:rFonts w:ascii="仿宋" w:eastAsia="仿宋" w:hAnsi="仿宋" w:hint="eastAsia"/>
          <w:color w:val="000000" w:themeColor="text1"/>
          <w:sz w:val="28"/>
          <w:szCs w:val="28"/>
        </w:rPr>
        <w:lastRenderedPageBreak/>
        <w:t>性技术工作的实际能力，能处理本专业范围内一般性技术难题，了解与本专业相关的法律、法规和政策；具有一定的本专业技术能力，积极为本专业领域事业发展做出相应贡献。</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3</w:t>
      </w:r>
      <w:r w:rsidRPr="00BE3A50">
        <w:rPr>
          <w:rFonts w:ascii="楷体_GB2312" w:eastAsia="楷体_GB2312" w:hAnsi="仿宋"/>
          <w:color w:val="000000" w:themeColor="text1"/>
          <w:sz w:val="28"/>
          <w:szCs w:val="28"/>
        </w:rPr>
        <w:t>、对学历和资历的要求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申报人须符合下列条件之一：</w:t>
      </w:r>
    </w:p>
    <w:p w:rsidR="00D003B0" w:rsidRDefault="00D003B0" w:rsidP="0049601F">
      <w:pPr>
        <w:ind w:firstLineChars="200" w:firstLine="560"/>
        <w:rPr>
          <w:rFonts w:ascii="仿宋" w:eastAsia="仿宋" w:hAnsi="仿宋"/>
          <w:color w:val="000000" w:themeColor="text1"/>
          <w:sz w:val="28"/>
          <w:szCs w:val="28"/>
        </w:rPr>
      </w:pPr>
      <w:bookmarkStart w:id="0" w:name="_GoBack"/>
      <w:bookmarkEnd w:id="0"/>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1</w:t>
      </w:r>
      <w:r w:rsidRPr="004350FB">
        <w:rPr>
          <w:rFonts w:ascii="仿宋" w:eastAsia="仿宋" w:hAnsi="仿宋" w:hint="eastAsia"/>
          <w:color w:val="000000" w:themeColor="text1"/>
          <w:sz w:val="28"/>
          <w:szCs w:val="28"/>
        </w:rPr>
        <w:t>）</w:t>
      </w:r>
      <w:r w:rsidRPr="00D003B0">
        <w:rPr>
          <w:rFonts w:ascii="仿宋" w:eastAsia="仿宋" w:hAnsi="仿宋" w:hint="eastAsia"/>
          <w:color w:val="000000" w:themeColor="text1"/>
          <w:sz w:val="28"/>
          <w:szCs w:val="28"/>
        </w:rPr>
        <w:t>硕士研究生毕业后，从事本专业技术工作；</w:t>
      </w:r>
    </w:p>
    <w:p w:rsidR="00D003B0" w:rsidRDefault="00D003B0"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2</w:t>
      </w:r>
      <w:r w:rsidRPr="004350FB">
        <w:rPr>
          <w:rFonts w:ascii="仿宋" w:eastAsia="仿宋" w:hAnsi="仿宋" w:hint="eastAsia"/>
          <w:color w:val="000000" w:themeColor="text1"/>
          <w:sz w:val="28"/>
          <w:szCs w:val="28"/>
        </w:rPr>
        <w:t>）</w:t>
      </w:r>
      <w:r w:rsidRPr="00D003B0">
        <w:rPr>
          <w:rFonts w:ascii="仿宋" w:eastAsia="仿宋" w:hAnsi="仿宋" w:hint="eastAsia"/>
          <w:color w:val="000000" w:themeColor="text1"/>
          <w:sz w:val="28"/>
          <w:szCs w:val="28"/>
        </w:rPr>
        <w:t>大学本科毕业后，从事本专业技术工作满1年；</w:t>
      </w:r>
    </w:p>
    <w:p w:rsidR="00D003B0" w:rsidRDefault="00D003B0" w:rsidP="00D003B0">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3</w:t>
      </w:r>
      <w:r w:rsidRPr="004350FB">
        <w:rPr>
          <w:rFonts w:ascii="仿宋" w:eastAsia="仿宋" w:hAnsi="仿宋" w:hint="eastAsia"/>
          <w:color w:val="000000" w:themeColor="text1"/>
          <w:sz w:val="28"/>
          <w:szCs w:val="28"/>
        </w:rPr>
        <w:t>）</w:t>
      </w:r>
      <w:r w:rsidRPr="00D003B0">
        <w:rPr>
          <w:rFonts w:ascii="仿宋" w:eastAsia="仿宋" w:hAnsi="仿宋" w:hint="eastAsia"/>
          <w:color w:val="000000" w:themeColor="text1"/>
          <w:sz w:val="28"/>
          <w:szCs w:val="28"/>
        </w:rPr>
        <w:t>大学专科毕业后，从事本专业技术工作满3年；</w:t>
      </w:r>
    </w:p>
    <w:p w:rsidR="0049601F" w:rsidRPr="004350FB" w:rsidRDefault="00D003B0" w:rsidP="00D003B0">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Pr="00D003B0">
        <w:rPr>
          <w:rFonts w:ascii="仿宋" w:eastAsia="仿宋" w:hAnsi="仿宋" w:hint="eastAsia"/>
          <w:color w:val="000000" w:themeColor="text1"/>
          <w:sz w:val="28"/>
          <w:szCs w:val="28"/>
        </w:rPr>
        <w:t>中等职业学校毕业后，从事本专业技术工作满5年。</w:t>
      </w:r>
    </w:p>
    <w:p w:rsidR="0049601F" w:rsidRPr="004350FB" w:rsidRDefault="0049601F"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上述专业工作年限计算截止日期为申报当年年底。</w:t>
      </w:r>
    </w:p>
    <w:p w:rsidR="00C42D4C" w:rsidRPr="00364643" w:rsidRDefault="00C42D4C" w:rsidP="00364643">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三、其他情况说明</w:t>
      </w:r>
    </w:p>
    <w:p w:rsidR="00C42D4C" w:rsidRPr="004350FB" w:rsidRDefault="00C42D4C" w:rsidP="00C42D4C">
      <w:pPr>
        <w:widowControl/>
        <w:spacing w:line="560" w:lineRule="exact"/>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1</w:t>
      </w:r>
      <w:r w:rsidR="00A856FE">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中央在京单位所属专业技术人员申请北京市专业技术职务任职资格或专业技术资格考试与评审，须经本单位同意并由上级（部委级）人事、职改部门出具相应委托评审函后，可按照北京市职称评审有关要求申报。</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w:t>
      </w:r>
      <w:r w:rsidR="00A856FE">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以下情况</w:t>
      </w:r>
      <w:r w:rsidR="00BC62DE" w:rsidRPr="00224C55">
        <w:rPr>
          <w:rFonts w:ascii="仿宋" w:eastAsia="仿宋" w:hAnsi="仿宋" w:hint="eastAsia"/>
          <w:sz w:val="28"/>
          <w:szCs w:val="28"/>
        </w:rPr>
        <w:t>不</w:t>
      </w:r>
      <w:r w:rsidR="00BC62DE">
        <w:rPr>
          <w:rFonts w:ascii="仿宋" w:eastAsia="仿宋" w:hAnsi="仿宋" w:hint="eastAsia"/>
          <w:sz w:val="28"/>
          <w:szCs w:val="28"/>
        </w:rPr>
        <w:t>接受申报</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1）公务员</w:t>
      </w:r>
      <w:r w:rsidRPr="004350FB">
        <w:rPr>
          <w:rFonts w:ascii="仿宋" w:eastAsia="仿宋" w:hAnsi="仿宋"/>
          <w:color w:val="000000" w:themeColor="text1"/>
          <w:sz w:val="28"/>
          <w:szCs w:val="28"/>
        </w:rPr>
        <w:t>和参照公务员</w:t>
      </w:r>
      <w:r w:rsidRPr="004350FB">
        <w:rPr>
          <w:rFonts w:ascii="仿宋" w:eastAsia="仿宋" w:hAnsi="仿宋" w:hint="eastAsia"/>
          <w:color w:val="000000" w:themeColor="text1"/>
          <w:sz w:val="28"/>
          <w:szCs w:val="28"/>
        </w:rPr>
        <w:t>法</w:t>
      </w:r>
      <w:r w:rsidRPr="004350FB">
        <w:rPr>
          <w:rFonts w:ascii="仿宋" w:eastAsia="仿宋" w:hAnsi="仿宋"/>
          <w:color w:val="000000" w:themeColor="text1"/>
          <w:sz w:val="28"/>
          <w:szCs w:val="28"/>
        </w:rPr>
        <w:t>管理</w:t>
      </w:r>
      <w:r w:rsidRPr="004350FB">
        <w:rPr>
          <w:rFonts w:ascii="仿宋" w:eastAsia="仿宋" w:hAnsi="仿宋" w:hint="eastAsia"/>
          <w:color w:val="000000" w:themeColor="text1"/>
          <w:sz w:val="28"/>
          <w:szCs w:val="28"/>
        </w:rPr>
        <w:t>的</w:t>
      </w:r>
      <w:r w:rsidRPr="004350FB">
        <w:rPr>
          <w:rFonts w:ascii="仿宋" w:eastAsia="仿宋" w:hAnsi="仿宋"/>
          <w:color w:val="000000" w:themeColor="text1"/>
          <w:sz w:val="28"/>
          <w:szCs w:val="28"/>
        </w:rPr>
        <w:t>人员</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2）全日制在校生、档案存放在学校的非全日制在校生。</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3）档案未存放在现工作单位或人事档案专门管理机构的人员。</w:t>
      </w:r>
    </w:p>
    <w:p w:rsidR="00C42D4C" w:rsidRPr="004350FB" w:rsidRDefault="00C42D4C" w:rsidP="008E1161">
      <w:pPr>
        <w:rPr>
          <w:color w:val="000000" w:themeColor="text1"/>
          <w:sz w:val="32"/>
          <w:szCs w:val="32"/>
        </w:rPr>
      </w:pPr>
    </w:p>
    <w:sectPr w:rsidR="00C42D4C" w:rsidRPr="004350FB" w:rsidSect="004B5B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1C" w:rsidRDefault="00D4531C" w:rsidP="008E1161">
      <w:r>
        <w:separator/>
      </w:r>
    </w:p>
  </w:endnote>
  <w:endnote w:type="continuationSeparator" w:id="1">
    <w:p w:rsidR="00D4531C" w:rsidRDefault="00D4531C" w:rsidP="008E1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1C" w:rsidRDefault="00D4531C" w:rsidP="008E1161">
      <w:r>
        <w:separator/>
      </w:r>
    </w:p>
  </w:footnote>
  <w:footnote w:type="continuationSeparator" w:id="1">
    <w:p w:rsidR="00D4531C" w:rsidRDefault="00D4531C" w:rsidP="008E1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CD9"/>
    <w:rsid w:val="000D4D32"/>
    <w:rsid w:val="001975CC"/>
    <w:rsid w:val="00215703"/>
    <w:rsid w:val="00220CD9"/>
    <w:rsid w:val="00364643"/>
    <w:rsid w:val="003A33F5"/>
    <w:rsid w:val="003D7D75"/>
    <w:rsid w:val="004350FB"/>
    <w:rsid w:val="0048010E"/>
    <w:rsid w:val="0049601F"/>
    <w:rsid w:val="004B5B86"/>
    <w:rsid w:val="00624300"/>
    <w:rsid w:val="00625EF5"/>
    <w:rsid w:val="006B5F2C"/>
    <w:rsid w:val="00774BF7"/>
    <w:rsid w:val="0085026A"/>
    <w:rsid w:val="00893990"/>
    <w:rsid w:val="008E1161"/>
    <w:rsid w:val="00927935"/>
    <w:rsid w:val="00A856FE"/>
    <w:rsid w:val="00AA55F2"/>
    <w:rsid w:val="00BC62DE"/>
    <w:rsid w:val="00BE3A50"/>
    <w:rsid w:val="00C42D4C"/>
    <w:rsid w:val="00C84FB3"/>
    <w:rsid w:val="00D003B0"/>
    <w:rsid w:val="00D4531C"/>
    <w:rsid w:val="00DF79F8"/>
    <w:rsid w:val="00E6370D"/>
    <w:rsid w:val="00ED1761"/>
    <w:rsid w:val="00F04BE8"/>
    <w:rsid w:val="00F37D9F"/>
    <w:rsid w:val="00F51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161"/>
    <w:rPr>
      <w:sz w:val="18"/>
      <w:szCs w:val="18"/>
    </w:rPr>
  </w:style>
  <w:style w:type="paragraph" w:styleId="a4">
    <w:name w:val="footer"/>
    <w:basedOn w:val="a"/>
    <w:link w:val="Char0"/>
    <w:uiPriority w:val="99"/>
    <w:unhideWhenUsed/>
    <w:rsid w:val="008E1161"/>
    <w:pPr>
      <w:tabs>
        <w:tab w:val="center" w:pos="4153"/>
        <w:tab w:val="right" w:pos="8306"/>
      </w:tabs>
      <w:snapToGrid w:val="0"/>
      <w:jc w:val="left"/>
    </w:pPr>
    <w:rPr>
      <w:sz w:val="18"/>
      <w:szCs w:val="18"/>
    </w:rPr>
  </w:style>
  <w:style w:type="character" w:customStyle="1" w:styleId="Char0">
    <w:name w:val="页脚 Char"/>
    <w:basedOn w:val="a0"/>
    <w:link w:val="a4"/>
    <w:uiPriority w:val="99"/>
    <w:rsid w:val="008E116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144</Words>
  <Characters>822</Characters>
  <Application>Microsoft Office Word</Application>
  <DocSecurity>0</DocSecurity>
  <Lines>6</Lines>
  <Paragraphs>1</Paragraphs>
  <ScaleCrop>false</ScaleCrop>
  <Company>Lenovo</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2020-07-24T02:29:00Z</dcterms:created>
  <dcterms:modified xsi:type="dcterms:W3CDTF">2020-09-03T06:11:00Z</dcterms:modified>
</cp:coreProperties>
</file>