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黑体" w:hAnsi="黑体" w:eastAsia="黑体"/>
          <w:sz w:val="32"/>
          <w:szCs w:val="32"/>
        </w:rPr>
      </w:pPr>
    </w:p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（2021年度）</w:t>
      </w:r>
    </w:p>
    <w:p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5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283"/>
        <w:gridCol w:w="1293"/>
        <w:gridCol w:w="844"/>
        <w:gridCol w:w="76"/>
        <w:gridCol w:w="467"/>
        <w:gridCol w:w="23"/>
        <w:gridCol w:w="644"/>
        <w:gridCol w:w="179"/>
        <w:gridCol w:w="7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机动经费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53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left" w:pos="865"/>
              </w:tabs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ab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北京市农村建设办公室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02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北京市农村建设办公室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项目负责人</w:t>
            </w:r>
          </w:p>
        </w:tc>
        <w:tc>
          <w:tcPr>
            <w:tcW w:w="453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胡广升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联系电话</w:t>
            </w:r>
          </w:p>
        </w:tc>
        <w:tc>
          <w:tcPr>
            <w:tcW w:w="202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5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4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</w:p>
        </w:tc>
        <w:tc>
          <w:tcPr>
            <w:tcW w:w="15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0.28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27</w:t>
            </w:r>
          </w:p>
        </w:tc>
        <w:tc>
          <w:tcPr>
            <w:tcW w:w="4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28%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2.8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</w:p>
        </w:tc>
        <w:tc>
          <w:tcPr>
            <w:tcW w:w="15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0.28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27</w:t>
            </w:r>
          </w:p>
        </w:tc>
        <w:tc>
          <w:tcPr>
            <w:tcW w:w="4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28%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5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5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51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294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51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落实《北京市财政局关于进一步加强市级机动经费使用管理的通知》（京财预【2013】2022号）文件精神，解决中央及市委、市政府确定的新增、临时、紧急项目，编制内增加人员的基本支出及解决财政政策确定的新增要求，发放本单位在职及离退休、退职人员死亡一次性抚恤金。</w:t>
            </w:r>
          </w:p>
        </w:tc>
        <w:tc>
          <w:tcPr>
            <w:tcW w:w="294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解决了原纳规人员缴纳失业保险事宜。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6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12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8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56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6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8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7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  <w:lang w:val="e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指标：解决中央及市委、市政府确定的新增、临时、紧急项目；解决编制内增加人员的基本支出、财政政策确定的新增要求；按规定发放本单位在职及离退休、退职人员死亡一次性抚恤金。</w:t>
            </w:r>
          </w:p>
        </w:tc>
        <w:tc>
          <w:tcPr>
            <w:tcW w:w="12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解决中央及市委、市政府确定的新增、临时、紧急项目；解决编制内增加人员的基本支出、财政政策确定的新增要求；按规定发放本单位在职及离退休、退职人员死亡一次性抚恤金。</w:t>
            </w:r>
          </w:p>
        </w:tc>
        <w:tc>
          <w:tcPr>
            <w:tcW w:w="8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解决了原纳规人员缴纳失业保险事宜。</w:t>
            </w:r>
          </w:p>
        </w:tc>
        <w:tc>
          <w:tcPr>
            <w:tcW w:w="56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30</w:t>
            </w:r>
          </w:p>
        </w:tc>
        <w:tc>
          <w:tcPr>
            <w:tcW w:w="6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30</w:t>
            </w:r>
          </w:p>
        </w:tc>
        <w:tc>
          <w:tcPr>
            <w:tcW w:w="8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指标：2021年12月中旬前基本完成工作。</w:t>
            </w:r>
          </w:p>
        </w:tc>
        <w:tc>
          <w:tcPr>
            <w:tcW w:w="12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12月中旬前基本完成工作。</w:t>
            </w:r>
          </w:p>
        </w:tc>
        <w:tc>
          <w:tcPr>
            <w:tcW w:w="8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已完成。</w:t>
            </w:r>
          </w:p>
        </w:tc>
        <w:tc>
          <w:tcPr>
            <w:tcW w:w="56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</w:t>
            </w:r>
          </w:p>
        </w:tc>
        <w:tc>
          <w:tcPr>
            <w:tcW w:w="6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</w:t>
            </w:r>
          </w:p>
        </w:tc>
        <w:tc>
          <w:tcPr>
            <w:tcW w:w="8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9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指标：预算控制数不超过1万元。</w:t>
            </w:r>
            <w:bookmarkStart w:id="0" w:name="_GoBack"/>
            <w:bookmarkEnd w:id="0"/>
          </w:p>
        </w:tc>
        <w:tc>
          <w:tcPr>
            <w:tcW w:w="12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不超过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1万元。</w:t>
            </w:r>
          </w:p>
        </w:tc>
        <w:tc>
          <w:tcPr>
            <w:tcW w:w="8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实际支出0.28万元。</w:t>
            </w:r>
          </w:p>
        </w:tc>
        <w:tc>
          <w:tcPr>
            <w:tcW w:w="56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</w:t>
            </w:r>
          </w:p>
        </w:tc>
        <w:tc>
          <w:tcPr>
            <w:tcW w:w="6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</w:t>
            </w:r>
          </w:p>
        </w:tc>
        <w:tc>
          <w:tcPr>
            <w:tcW w:w="8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指标：满意度</w:t>
            </w:r>
          </w:p>
        </w:tc>
        <w:tc>
          <w:tcPr>
            <w:tcW w:w="12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≥90%</w:t>
            </w:r>
          </w:p>
        </w:tc>
        <w:tc>
          <w:tcPr>
            <w:tcW w:w="8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≥90%</w:t>
            </w:r>
          </w:p>
        </w:tc>
        <w:tc>
          <w:tcPr>
            <w:tcW w:w="56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</w:t>
            </w:r>
          </w:p>
        </w:tc>
        <w:tc>
          <w:tcPr>
            <w:tcW w:w="6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</w:t>
            </w:r>
          </w:p>
        </w:tc>
        <w:tc>
          <w:tcPr>
            <w:tcW w:w="8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93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6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92.8</w:t>
            </w:r>
          </w:p>
        </w:tc>
        <w:tc>
          <w:tcPr>
            <w:tcW w:w="8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ascii="仿宋_GB2312" w:hAnsi="宋体" w:eastAsia="仿宋_GB2312" w:cs="宋体"/>
          <w:color w:val="000000"/>
          <w:kern w:val="0"/>
          <w:szCs w:val="21"/>
        </w:rPr>
      </w:pPr>
      <w:r>
        <w:rPr>
          <w:rFonts w:hint="eastAsia" w:ascii="仿宋_GB2312" w:hAnsi="宋体" w:eastAsia="仿宋_GB2312" w:cs="宋体"/>
          <w:color w:val="000000"/>
          <w:kern w:val="0"/>
          <w:szCs w:val="21"/>
        </w:rPr>
        <w:t>填报注意事项：</w:t>
      </w:r>
    </w:p>
    <w:p>
      <w:pPr>
        <w:widowControl/>
        <w:spacing w:line="520" w:lineRule="exact"/>
        <w:ind w:firstLine="420" w:firstLineChars="200"/>
        <w:jc w:val="left"/>
        <w:rPr>
          <w:rFonts w:ascii="仿宋_GB2312" w:hAnsi="宋体" w:eastAsia="仿宋_GB2312" w:cs="宋体"/>
          <w:color w:val="000000"/>
          <w:kern w:val="0"/>
          <w:szCs w:val="21"/>
        </w:rPr>
      </w:pPr>
      <w:r>
        <w:rPr>
          <w:rFonts w:hint="eastAsia" w:ascii="仿宋_GB2312" w:hAnsi="宋体" w:eastAsia="仿宋_GB2312" w:cs="宋体"/>
          <w:color w:val="000000"/>
          <w:kern w:val="0"/>
          <w:szCs w:val="21"/>
        </w:rPr>
        <w:t>1.得分一档最高不能超过该指标分值上限。</w:t>
      </w:r>
    </w:p>
    <w:p>
      <w:pPr>
        <w:widowControl/>
        <w:spacing w:line="520" w:lineRule="exact"/>
        <w:jc w:val="left"/>
        <w:rPr>
          <w:rFonts w:ascii="仿宋_GB2312" w:hAnsi="宋体" w:eastAsia="仿宋_GB2312" w:cs="宋体"/>
          <w:color w:val="000000"/>
          <w:kern w:val="0"/>
          <w:szCs w:val="21"/>
        </w:rPr>
      </w:pPr>
      <w:r>
        <w:rPr>
          <w:rFonts w:hint="eastAsia" w:ascii="仿宋_GB2312" w:hAnsi="宋体" w:eastAsia="仿宋_GB2312" w:cs="宋体"/>
          <w:color w:val="000000"/>
          <w:kern w:val="0"/>
          <w:szCs w:val="21"/>
        </w:rPr>
        <w:t xml:space="preserve">    2.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>
      <w:pPr>
        <w:widowControl/>
        <w:spacing w:line="520" w:lineRule="exact"/>
        <w:jc w:val="left"/>
        <w:rPr>
          <w:rFonts w:ascii="仿宋_GB2312" w:hAnsi="宋体" w:eastAsia="仿宋_GB2312" w:cs="宋体"/>
          <w:color w:val="000000"/>
          <w:kern w:val="0"/>
          <w:szCs w:val="21"/>
        </w:rPr>
      </w:pPr>
      <w:r>
        <w:rPr>
          <w:rFonts w:hint="eastAsia" w:ascii="仿宋_GB2312" w:hAnsi="宋体" w:eastAsia="仿宋_GB2312" w:cs="宋体"/>
          <w:color w:val="000000"/>
          <w:kern w:val="0"/>
          <w:szCs w:val="21"/>
        </w:rPr>
        <w:t>3.请在“偏差原因分析及改进措施”中说明偏离目标、不能完成目标的原因及拟采取的措施。</w:t>
      </w:r>
    </w:p>
    <w:p>
      <w:pPr>
        <w:widowControl/>
        <w:spacing w:line="520" w:lineRule="exact"/>
        <w:jc w:val="left"/>
        <w:rPr>
          <w:rFonts w:ascii="仿宋_GB2312" w:hAnsi="宋体" w:eastAsia="仿宋_GB2312" w:cs="宋体"/>
          <w:color w:val="000000"/>
          <w:kern w:val="0"/>
          <w:szCs w:val="21"/>
        </w:rPr>
      </w:pPr>
      <w:r>
        <w:rPr>
          <w:rFonts w:hint="eastAsia" w:ascii="仿宋_GB2312" w:hAnsi="宋体" w:eastAsia="仿宋_GB2312" w:cs="宋体"/>
          <w:color w:val="000000"/>
          <w:kern w:val="0"/>
          <w:szCs w:val="21"/>
        </w:rPr>
        <w:t>4.90（含）-100分为优、80（含）-90分为良、60（含）-80分为中、60分以下为差。</w:t>
      </w:r>
    </w:p>
    <w:p>
      <w:pPr>
        <w:spacing w:line="480" w:lineRule="exact"/>
        <w:rPr>
          <w:rFonts w:ascii="仿宋_GB2312" w:eastAsia="仿宋_GB2312"/>
          <w:sz w:val="32"/>
          <w:szCs w:val="32"/>
        </w:rPr>
        <w:sectPr>
          <w:footerReference r:id="rId3" w:type="default"/>
          <w:footerReference r:id="rId4" w:type="even"/>
          <w:pgSz w:w="11906" w:h="16838"/>
          <w:pgMar w:top="1871" w:right="1474" w:bottom="1418" w:left="1531" w:header="851" w:footer="992" w:gutter="0"/>
          <w:pgNumType w:fmt="numberInDash"/>
          <w:cols w:space="720" w:num="1"/>
          <w:docGrid w:type="lines" w:linePitch="312" w:charSpace="0"/>
        </w:sectPr>
      </w:pPr>
    </w:p>
    <w:p>
      <w:pPr>
        <w:spacing w:line="480" w:lineRule="exact"/>
      </w:pPr>
    </w:p>
    <w:sectPr>
      <w:footerReference r:id="rId5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Arial">
    <w:altName w:val="DejaVu Sans"/>
    <w:panose1 w:val="020B0604020202020204"/>
    <w:charset w:val="00"/>
    <w:family w:val="swiss"/>
    <w:pitch w:val="default"/>
    <w:sig w:usb0="00000000" w:usb1="00000000" w:usb2="00000009" w:usb3="00000000" w:csb0="000001F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宋体" w:hAnsi="宋体"/>
        <w:sz w:val="28"/>
        <w:szCs w:val="28"/>
      </w:rPr>
    </w:pPr>
  </w:p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-</w:t>
    </w:r>
    <w:r>
      <w:rPr>
        <w:rFonts w:ascii="宋体" w:hAnsi="宋体"/>
        <w:sz w:val="28"/>
        <w:szCs w:val="28"/>
      </w:rPr>
      <w:t xml:space="preserve"> 16 -</w:t>
    </w:r>
    <w:r>
      <w:rPr>
        <w:rFonts w:ascii="宋体" w:hAnsi="宋体"/>
        <w:sz w:val="28"/>
        <w:szCs w:val="28"/>
      </w:rPr>
      <w:fldChar w:fldCharType="end"/>
    </w:r>
  </w:p>
  <w:p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宋体" w:hAnsi="宋体"/>
        <w:sz w:val="28"/>
        <w:szCs w:val="28"/>
      </w:rPr>
    </w:pP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77F09F4"/>
    <w:rsid w:val="001E64FE"/>
    <w:rsid w:val="00234823"/>
    <w:rsid w:val="004E66E8"/>
    <w:rsid w:val="006910A4"/>
    <w:rsid w:val="008615FF"/>
    <w:rsid w:val="009A5BAF"/>
    <w:rsid w:val="00BE73CC"/>
    <w:rsid w:val="00C94B89"/>
    <w:rsid w:val="00D37EAA"/>
    <w:rsid w:val="0ECF9C51"/>
    <w:rsid w:val="34FF9128"/>
    <w:rsid w:val="37173543"/>
    <w:rsid w:val="3EFF6C9D"/>
    <w:rsid w:val="3FF76880"/>
    <w:rsid w:val="523FA3DB"/>
    <w:rsid w:val="5CFE20E2"/>
    <w:rsid w:val="5DF7FA8C"/>
    <w:rsid w:val="5FDFE061"/>
    <w:rsid w:val="5FEB6484"/>
    <w:rsid w:val="6BFF0B25"/>
    <w:rsid w:val="6FDB115D"/>
    <w:rsid w:val="76B5D68B"/>
    <w:rsid w:val="795F6E69"/>
    <w:rsid w:val="7AB7FF50"/>
    <w:rsid w:val="7AFF7D44"/>
    <w:rsid w:val="7B7F634E"/>
    <w:rsid w:val="7BFEB0DB"/>
    <w:rsid w:val="7BFEF903"/>
    <w:rsid w:val="7ED6407C"/>
    <w:rsid w:val="7F7F5AAE"/>
    <w:rsid w:val="7F930D3C"/>
    <w:rsid w:val="7FFF3306"/>
    <w:rsid w:val="A7DE7D59"/>
    <w:rsid w:val="AEFB3487"/>
    <w:rsid w:val="BBFEEC4C"/>
    <w:rsid w:val="BDA389E9"/>
    <w:rsid w:val="C36F37B1"/>
    <w:rsid w:val="CEFD3F3D"/>
    <w:rsid w:val="DBDFE272"/>
    <w:rsid w:val="DE3BE84B"/>
    <w:rsid w:val="DFFA7F31"/>
    <w:rsid w:val="EA3F77F2"/>
    <w:rsid w:val="EEFE5989"/>
    <w:rsid w:val="EF731327"/>
    <w:rsid w:val="EFCF3EAE"/>
    <w:rsid w:val="EFFEF0ED"/>
    <w:rsid w:val="F5B764A2"/>
    <w:rsid w:val="F77F09F4"/>
    <w:rsid w:val="FA7F43D3"/>
    <w:rsid w:val="FCB73688"/>
    <w:rsid w:val="FDDFA826"/>
    <w:rsid w:val="FFAFFAFA"/>
    <w:rsid w:val="FFBE78CA"/>
    <w:rsid w:val="FFD7B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7">
    <w:name w:val="page number"/>
    <w:basedOn w:val="6"/>
    <w:qFormat/>
    <w:uiPriority w:val="0"/>
  </w:style>
  <w:style w:type="paragraph" w:customStyle="1" w:styleId="8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182</Words>
  <Characters>1039</Characters>
  <Lines>8</Lines>
  <Paragraphs>2</Paragraphs>
  <TotalTime>5</TotalTime>
  <ScaleCrop>false</ScaleCrop>
  <LinksUpToDate>false</LinksUpToDate>
  <CharactersWithSpaces>1219</CharactersWithSpaces>
  <Application>WPS Office_11.8.2.9980_F1E327BC-269C-435d-A152-05C5408002CA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2022-03-12T03:16:00Z</dcterms:created>
  <dc:creator>user</dc:creator>
  <cp:lastModifiedBy>admin</cp:lastModifiedBy>
  <dcterms:modified xsi:type="dcterms:W3CDTF">2022-08-24T18:32:13Z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2052-11.8.2.9980</vt:lpwstr>
  </property>
</Properties>
</file>