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北京市农村建设办公室</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原</w:t>
      </w:r>
      <w:r>
        <w:rPr>
          <w:rFonts w:ascii="仿宋_GB2312" w:hAnsi="宋体" w:eastAsia="仿宋_GB2312" w:cs="宋体"/>
          <w:color w:val="000000"/>
          <w:kern w:val="0"/>
          <w:sz w:val="32"/>
          <w:szCs w:val="32"/>
        </w:rPr>
        <w:t>北京市农村建设办公室隶属于北京市</w:t>
      </w:r>
      <w:r>
        <w:rPr>
          <w:rFonts w:hint="eastAsia" w:ascii="仿宋_GB2312" w:hAnsi="宋体" w:eastAsia="仿宋_GB2312" w:cs="宋体"/>
          <w:color w:val="000000"/>
          <w:kern w:val="0"/>
          <w:sz w:val="32"/>
          <w:szCs w:val="32"/>
        </w:rPr>
        <w:t>农业农村局</w:t>
      </w:r>
      <w:r>
        <w:rPr>
          <w:rFonts w:ascii="仿宋_GB2312" w:hAnsi="宋体" w:eastAsia="仿宋_GB2312" w:cs="宋体"/>
          <w:color w:val="000000"/>
          <w:kern w:val="0"/>
          <w:sz w:val="32"/>
          <w:szCs w:val="32"/>
        </w:rPr>
        <w:t>，为纳入工资管理规范收入的全额拨款一级预算事业单位，没有下属二级预算单位。部门职</w:t>
      </w:r>
      <w:r>
        <w:rPr>
          <w:rFonts w:hint="eastAsia" w:ascii="仿宋_GB2312" w:hAnsi="宋体" w:eastAsia="仿宋_GB2312" w:cs="宋体"/>
          <w:color w:val="000000"/>
          <w:kern w:val="0"/>
          <w:sz w:val="32"/>
          <w:szCs w:val="32"/>
        </w:rPr>
        <w:t>责</w:t>
      </w:r>
      <w:r>
        <w:rPr>
          <w:rFonts w:ascii="仿宋_GB2312" w:hAnsi="宋体" w:eastAsia="仿宋_GB2312" w:cs="宋体"/>
          <w:color w:val="000000"/>
          <w:kern w:val="0"/>
          <w:sz w:val="32"/>
          <w:szCs w:val="32"/>
        </w:rPr>
        <w:t>：开展村镇规划建设政策研究，推进农村城市化进程，专题研究京郊村镇规划建设的相关方针政策；配合有关部门组织编制村镇规划并实施建设；负责全市郊区村镇建设主管部门及管理人员专业技术培训；负责远郊区县环境综合治理；负责全市村镇规划建设统计工作。</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共北京市委机构编制委员会关于市委农工委、市农业农村局所属事业单位改革有关事项的批复》（京编委【2021】128号）文件精神，北京市农业农村局于2021年9月整合北京市优质农产品产销服务站（北京市净菜上市示范中心）、北京市农村财务管理事务中心、北京市农村建设办公室，组建北京市农村发展中心。根据事业单位改革工作部署要求，北京市农村建设办公室作为会计主体，在2021年1月1日至2021年12月31日会计期间内正常开展财务相关工作。</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（二）部门整体绩效目标设立情况</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在财政部门制定的绩效评价指标体系的基础上，结合部门的职责任务和项目的特点，科学合理的设计了当年预算执行情况、整体绩效目标实现情况、预算管理情况三个一级指标以及十个二级指标和十四个三级指标。</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本部门2021年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185.</w:t>
      </w:r>
      <w:r>
        <w:rPr>
          <w:rFonts w:hint="eastAsia" w:ascii="仿宋_GB2312" w:hAnsi="宋体" w:eastAsia="仿宋_GB2312" w:cs="宋体"/>
          <w:color w:val="000000"/>
          <w:kern w:val="0"/>
          <w:sz w:val="32"/>
          <w:szCs w:val="32"/>
        </w:rPr>
        <w:t>29万元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预算数148.</w:t>
      </w:r>
      <w:r>
        <w:rPr>
          <w:rFonts w:hint="eastAsia" w:ascii="仿宋_GB2312" w:hAnsi="宋体" w:eastAsia="仿宋_GB2312" w:cs="宋体"/>
          <w:color w:val="000000"/>
          <w:kern w:val="0"/>
          <w:sz w:val="32"/>
          <w:szCs w:val="32"/>
        </w:rPr>
        <w:t>60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ascii="仿宋_GB2312" w:hAnsi="宋体" w:eastAsia="仿宋_GB2312" w:cs="宋体"/>
          <w:color w:val="000000"/>
          <w:kern w:val="0"/>
          <w:sz w:val="32"/>
          <w:szCs w:val="32"/>
        </w:rPr>
        <w:t>36.69万元，其他支出</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0万元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158.03万元，其中，基本支出134.16万元，项目</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23.87万元，其他支出0万元。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执行率为85.2</w:t>
      </w:r>
      <w:r>
        <w:rPr>
          <w:rFonts w:hint="eastAsia" w:ascii="仿宋_GB2312" w:hAnsi="宋体" w:eastAsia="仿宋_GB2312" w:cs="宋体"/>
          <w:color w:val="000000"/>
          <w:kern w:val="0"/>
          <w:sz w:val="32"/>
          <w:szCs w:val="32"/>
        </w:rPr>
        <w:t>9</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年度计划完成郊区村庄环境综合整治、村庄环境整治管理人员与村镇建设统计人员专业培训、项目绩效评价等9项任务，但由于事业单位改革以及新冠疫情防控因素的影响，实际完成工作数为7项。计划完成率是7</w:t>
      </w:r>
      <w:r>
        <w:rPr>
          <w:rFonts w:ascii="仿宋_GB2312" w:hAnsi="宋体" w:eastAsia="仿宋_GB2312" w:cs="宋体"/>
          <w:color w:val="000000"/>
          <w:kern w:val="0"/>
          <w:sz w:val="32"/>
          <w:szCs w:val="32"/>
        </w:rPr>
        <w:t>7.78%</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年度实际完成的7项工作任务均达到部门绩效目标要求（绩效标准值），质量达标率是100%。</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年度实际完成的7项工作任务均按照整体绩效目标确定的时限完成，按时完成率100%。</w:t>
      </w:r>
    </w:p>
    <w:p>
      <w:pPr>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度项目支出严格按照财务管理制度要求，通过政府采购、三方比价等方式，在保证完成工作任务的前提下降低产出成本；公用经费坚持厉行节约、务实高效的原则，提高经费使用效益。全年经费使用未超过预算金额。</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经济效益</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通过项目的实施，本部门财务管理工作更加规范有序，提升了部门项目的预算管理水平和资金使用绩效，内部控制制度实施更加规范。</w:t>
      </w:r>
    </w:p>
    <w:p>
      <w:pPr>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.社会效益</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通过项目的实施，使北京郊区广大农民生活环境明显改善；乡村建设有关人员能力进一步增强。</w:t>
      </w:r>
    </w:p>
    <w:p>
      <w:pPr>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.环境效益</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通过项目的实施北京农村地区垃圾、污水等突出环境问题得到有效治理。</w:t>
      </w:r>
    </w:p>
    <w:p>
      <w:pPr>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本部门服务对象对部门履职效果的满意程度≥90%。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本部门预算资金管理办法、绩效跟踪管理办法、资产管理办法等各项制度健全，内部财务管理制度完整、合规，会计核算制度完整、合规。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本部门资金使用符合国家财经法规和财务管理制度规定以及有关专项资金管理办法的规定；资金的拨付有完整的审批程序和手续</w:t>
      </w:r>
      <w:r>
        <w:rPr>
          <w:rFonts w:hint="eastAsia" w:ascii="仿宋_GB2312" w:hAnsi="宋体" w:eastAsia="仿宋_GB2312" w:cs="宋体"/>
          <w:color w:val="000000"/>
          <w:kern w:val="0"/>
          <w:sz w:val="32"/>
          <w:szCs w:val="32"/>
          <w:highlight w:val="none"/>
        </w:rPr>
        <w:t>；项目实施中无重大开支；资金</w:t>
      </w:r>
      <w:r>
        <w:rPr>
          <w:rFonts w:hint="eastAsia" w:ascii="仿宋_GB2312" w:hAnsi="宋体" w:eastAsia="仿宋_GB2312" w:cs="宋体"/>
          <w:color w:val="000000"/>
          <w:kern w:val="0"/>
          <w:sz w:val="32"/>
          <w:szCs w:val="32"/>
        </w:rPr>
        <w:t>使用符合部门预算批复的用途；不存在截留、挤占、挪用情况；资金使用符合政府采购的程序和流程；资金使用符合公务卡结算相关制度和规定。</w:t>
      </w:r>
    </w:p>
    <w:p>
      <w:pPr>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本部门会计基础数据信息和会计信息资料真实、完整准确。</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不存在对外投资行为；未发生严重资产损失和丢失情况；不存在超标准配置资产；资产使用规范，不存在未经批准擅自出租、出借资产行为；资产处置规范，不存在不按要求进行报批或资产不公开处置行为；严格执行资产管理制度办法。</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本部门及时对绩效信息进行汇总分析整理，对绩效目标偏离情况及时进行矫正。</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年结转结余率为</w:t>
      </w:r>
      <w:r>
        <w:rPr>
          <w:rFonts w:ascii="仿宋_GB2312" w:hAnsi="宋体" w:eastAsia="仿宋_GB2312" w:cs="宋体"/>
          <w:color w:val="000000"/>
          <w:kern w:val="0"/>
          <w:sz w:val="32"/>
          <w:szCs w:val="32"/>
        </w:rPr>
        <w:t>14.71%</w:t>
      </w:r>
      <w:r>
        <w:rPr>
          <w:rFonts w:hint="eastAsia" w:ascii="仿宋_GB2312" w:hAnsi="宋体" w:eastAsia="仿宋_GB2312" w:cs="宋体"/>
          <w:color w:val="000000"/>
          <w:kern w:val="0"/>
          <w:sz w:val="32"/>
          <w:szCs w:val="32"/>
        </w:rPr>
        <w:t>，比2</w:t>
      </w:r>
      <w:r>
        <w:rPr>
          <w:rFonts w:ascii="仿宋_GB2312" w:hAnsi="宋体" w:eastAsia="仿宋_GB2312" w:cs="宋体"/>
          <w:color w:val="000000"/>
          <w:kern w:val="0"/>
          <w:sz w:val="32"/>
          <w:szCs w:val="32"/>
        </w:rPr>
        <w:t>020</w:t>
      </w:r>
      <w:r>
        <w:rPr>
          <w:rFonts w:hint="eastAsia" w:ascii="仿宋_GB2312" w:hAnsi="宋体" w:eastAsia="仿宋_GB2312" w:cs="宋体"/>
          <w:color w:val="000000"/>
          <w:kern w:val="0"/>
          <w:sz w:val="32"/>
          <w:szCs w:val="32"/>
        </w:rPr>
        <w:t>年结转结余率</w:t>
      </w:r>
      <w:r>
        <w:rPr>
          <w:rFonts w:ascii="仿宋_GB2312" w:hAnsi="宋体" w:eastAsia="仿宋_GB2312" w:cs="宋体"/>
          <w:color w:val="000000"/>
          <w:kern w:val="0"/>
          <w:sz w:val="32"/>
          <w:szCs w:val="32"/>
        </w:rPr>
        <w:t>10.35%</w:t>
      </w:r>
      <w:r>
        <w:rPr>
          <w:rFonts w:hint="eastAsia" w:ascii="仿宋_GB2312" w:hAnsi="宋体" w:eastAsia="仿宋_GB2312" w:cs="宋体"/>
          <w:color w:val="000000"/>
          <w:kern w:val="0"/>
          <w:sz w:val="32"/>
          <w:szCs w:val="32"/>
        </w:rPr>
        <w:t>高</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个百分点。</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年部门预决算差异率为</w:t>
      </w:r>
      <w:r>
        <w:rPr>
          <w:rFonts w:hint="eastAsia" w:ascii="仿宋_GB2312" w:hAnsi="宋体" w:eastAsia="仿宋_GB2312" w:cs="宋体"/>
          <w:color w:val="000000"/>
          <w:kern w:val="0"/>
          <w:sz w:val="32"/>
          <w:szCs w:val="32"/>
          <w:lang w:val="en-US" w:eastAsia="zh-CN"/>
        </w:rPr>
        <w:t>0.1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，低于市级平均差异率。</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bookmarkStart w:id="7" w:name="_GoBack"/>
      <w:bookmarkEnd w:id="7"/>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年度部门整体绩效评价综合得分</w:t>
      </w:r>
      <w:r>
        <w:rPr>
          <w:rFonts w:ascii="仿宋_GB2312" w:hAnsi="宋体" w:eastAsia="仿宋_GB2312" w:cs="宋体"/>
          <w:color w:val="000000"/>
          <w:kern w:val="0"/>
          <w:sz w:val="32"/>
          <w:szCs w:val="32"/>
        </w:rPr>
        <w:t>93.88</w:t>
      </w:r>
      <w:r>
        <w:rPr>
          <w:rFonts w:hint="eastAsia" w:ascii="仿宋_GB2312" w:hAnsi="宋体" w:eastAsia="仿宋_GB2312" w:cs="宋体"/>
          <w:color w:val="000000"/>
          <w:kern w:val="0"/>
          <w:sz w:val="32"/>
          <w:szCs w:val="32"/>
        </w:rPr>
        <w:t>分。其中当年预算执行情况1</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分，整体绩效目标实现情况</w:t>
      </w:r>
      <w:r>
        <w:rPr>
          <w:rFonts w:ascii="仿宋_GB2312" w:hAnsi="宋体" w:eastAsia="仿宋_GB2312" w:cs="宋体"/>
          <w:color w:val="000000"/>
          <w:kern w:val="0"/>
          <w:sz w:val="32"/>
          <w:szCs w:val="32"/>
        </w:rPr>
        <w:t>58.88</w:t>
      </w:r>
      <w:r>
        <w:rPr>
          <w:rFonts w:hint="eastAsia" w:ascii="仿宋_GB2312" w:hAnsi="宋体" w:eastAsia="仿宋_GB2312" w:cs="宋体"/>
          <w:color w:val="000000"/>
          <w:kern w:val="0"/>
          <w:sz w:val="32"/>
          <w:szCs w:val="32"/>
        </w:rPr>
        <w:t>分，预算管理情况1</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分。</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一是部分项目中长期规划和年度规划不够全面细致。</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二是部分项目绩效指标设计需优化。对于项目的产出数量、质量、效益指标不够明确、细化、量化。</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三是受事业单位改革和新冠疫情防控因素的影响，未能够按照年度预算计划完全执行。</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四是部分项目满意度调查问卷内容需进一步完善。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存在上述问题的原因是在绩效管理工作中，对于细节的处理还需进一步完善，对于相关政策的学习还需进一步加强，以及事业单位改革和新冠疫情防控等不可抗因素的影响。</w:t>
      </w:r>
    </w:p>
    <w:p>
      <w:pPr>
        <w:spacing w:line="60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加强项目前期技术方案的研讨论证。在做好实地调研基础上，结合政策，制定针对性的中长期规划和年度重点计划，形成年度任务递进和提升目标，作为项目申报依据，提高年度间运行方式和绩效成果的不断创新和改进。</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二是科学编制绩效指标。从产出指标、效益指标、满意度指标三个方面填报，尽可能细化、量化各项指标。</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三是严格执行预算，如遇特殊因素导致预算不能按计划执行，及时履行预算调整程序，上缴。</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四是满意度调查问卷增加样本量，拓展调查范围，不断提高工作质量、效率。</w:t>
      </w:r>
    </w:p>
    <w:p>
      <w:pPr>
        <w:widowControl/>
        <w:jc w:val="center"/>
        <w:rPr>
          <w:rFonts w:ascii="方正小标宋简体" w:hAnsi="黑体" w:eastAsia="方正小标宋简体" w:cs="宋体"/>
          <w:color w:val="000000"/>
          <w:kern w:val="0"/>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933"/>
        <w:gridCol w:w="972"/>
        <w:gridCol w:w="816"/>
        <w:gridCol w:w="816"/>
        <w:gridCol w:w="907"/>
        <w:gridCol w:w="616"/>
        <w:gridCol w:w="717"/>
        <w:gridCol w:w="4150"/>
        <w:gridCol w:w="4247"/>
      </w:tblGrid>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2021年部门整体绩效评价指标体系评分表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bookmarkStart w:id="0" w:name="_Hlk103786904"/>
            <w:r>
              <w:rPr>
                <w:rFonts w:hint="eastAsia" w:ascii="宋体" w:hAnsi="宋体" w:cs="宋体"/>
                <w:color w:val="000000"/>
                <w:kern w:val="0"/>
                <w:sz w:val="20"/>
                <w:szCs w:val="20"/>
              </w:rPr>
              <w:t>当年预算执行情况</w:t>
            </w:r>
            <w:bookmarkEnd w:id="0"/>
            <w:r>
              <w:rPr>
                <w:rFonts w:hint="eastAsia" w:ascii="宋体" w:hAnsi="宋体" w:cs="宋体"/>
                <w:color w:val="000000"/>
                <w:kern w:val="0"/>
                <w:sz w:val="20"/>
                <w:szCs w:val="20"/>
              </w:rPr>
              <w:t>（20分）</w:t>
            </w:r>
          </w:p>
        </w:tc>
      </w:tr>
      <w:tr>
        <w:tblPrEx>
          <w:tblCellMar>
            <w:top w:w="0" w:type="dxa"/>
            <w:left w:w="108" w:type="dxa"/>
            <w:bottom w:w="0" w:type="dxa"/>
            <w:right w:w="108" w:type="dxa"/>
          </w:tblCellMar>
        </w:tblPrEx>
        <w:trPr>
          <w:trHeight w:val="660" w:hRule="atLeast"/>
        </w:trPr>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1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5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32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85.</w:t>
            </w:r>
            <w:r>
              <w:rPr>
                <w:rFonts w:hint="eastAsia" w:ascii="宋体" w:hAnsi="宋体" w:cs="宋体"/>
                <w:color w:val="000000"/>
                <w:kern w:val="0"/>
                <w:sz w:val="20"/>
                <w:szCs w:val="20"/>
              </w:rPr>
              <w:t>29</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58.03</w:t>
            </w:r>
          </w:p>
        </w:tc>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85.2</w:t>
            </w:r>
            <w:r>
              <w:rPr>
                <w:rFonts w:hint="eastAsia" w:ascii="宋体" w:hAnsi="宋体" w:cs="宋体"/>
                <w:color w:val="000000"/>
                <w:kern w:val="0"/>
                <w:sz w:val="20"/>
                <w:szCs w:val="20"/>
              </w:rPr>
              <w:t>9</w:t>
            </w:r>
            <w:r>
              <w:rPr>
                <w:rFonts w:ascii="宋体" w:hAnsi="宋体" w:cs="宋体"/>
                <w:color w:val="000000"/>
                <w:kern w:val="0"/>
                <w:sz w:val="20"/>
                <w:szCs w:val="20"/>
              </w:rPr>
              <w:t>%</w:t>
            </w:r>
          </w:p>
        </w:tc>
        <w:tc>
          <w:tcPr>
            <w:tcW w:w="21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5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7</w:t>
            </w:r>
          </w:p>
        </w:tc>
        <w:tc>
          <w:tcPr>
            <w:tcW w:w="14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498"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48.</w:t>
            </w:r>
            <w:r>
              <w:rPr>
                <w:rFonts w:hint="eastAsia" w:ascii="宋体" w:hAnsi="宋体" w:cs="宋体"/>
                <w:color w:val="000000"/>
                <w:kern w:val="0"/>
                <w:sz w:val="20"/>
                <w:szCs w:val="20"/>
              </w:rPr>
              <w:t>60</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34.16</w:t>
            </w:r>
          </w:p>
        </w:tc>
        <w:tc>
          <w:tcPr>
            <w:tcW w:w="32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4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6.69</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3.87</w:t>
            </w: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4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136"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4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4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3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2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53"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43" w:type="pct"/>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28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28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18"/>
                <w:szCs w:val="18"/>
              </w:rPr>
              <w:t>计划工作数</w:t>
            </w:r>
            <w:r>
              <w:rPr>
                <w:rFonts w:hint="eastAsia" w:ascii="宋体" w:hAnsi="宋体" w:cs="宋体"/>
                <w:color w:val="000000"/>
                <w:kern w:val="0"/>
                <w:sz w:val="20"/>
                <w:szCs w:val="20"/>
              </w:rPr>
              <w:t>9项。</w:t>
            </w:r>
          </w:p>
        </w:tc>
        <w:tc>
          <w:tcPr>
            <w:tcW w:w="320"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18"/>
                <w:szCs w:val="18"/>
              </w:rPr>
              <w:t>实际完成工作数</w:t>
            </w:r>
            <w:r>
              <w:rPr>
                <w:rFonts w:hint="eastAsia" w:ascii="宋体" w:hAnsi="宋体" w:cs="宋体"/>
                <w:color w:val="000000"/>
                <w:kern w:val="0"/>
                <w:sz w:val="20"/>
                <w:szCs w:val="20"/>
              </w:rPr>
              <w:t>7项。</w:t>
            </w:r>
          </w:p>
        </w:tc>
        <w:tc>
          <w:tcPr>
            <w:tcW w:w="217"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53"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ascii="宋体" w:hAnsi="宋体" w:cs="宋体"/>
                <w:color w:val="000000"/>
                <w:kern w:val="0"/>
                <w:sz w:val="20"/>
                <w:szCs w:val="20"/>
              </w:rPr>
              <w:t>3.88</w:t>
            </w:r>
          </w:p>
        </w:tc>
        <w:tc>
          <w:tcPr>
            <w:tcW w:w="14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w:t>
            </w:r>
            <w:bookmarkStart w:id="1" w:name="_Hlk103784161"/>
            <w:r>
              <w:rPr>
                <w:rFonts w:hint="eastAsia" w:ascii="宋体" w:hAnsi="宋体" w:cs="宋体"/>
                <w:color w:val="000000"/>
                <w:kern w:val="0"/>
                <w:sz w:val="18"/>
                <w:szCs w:val="18"/>
              </w:rPr>
              <w:t>单位产出相对于上一年度的节约额；②单位产出相对于市场同类产出的节约额；③部门公用经费的控制情况。</w:t>
            </w:r>
            <w:bookmarkEnd w:id="1"/>
          </w:p>
        </w:tc>
        <w:tc>
          <w:tcPr>
            <w:tcW w:w="149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指标2</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实际完成的工作达到部门绩效目标要求。</w:t>
            </w:r>
          </w:p>
        </w:tc>
        <w:tc>
          <w:tcPr>
            <w:tcW w:w="3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实际完成的7项工作均达到部门绩效目标要求。</w:t>
            </w:r>
          </w:p>
        </w:tc>
        <w:tc>
          <w:tcPr>
            <w:tcW w:w="217" w:type="pct"/>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指标3</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实际完成的工作按照整体绩效目标确定的时限实际完成。</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实际完成的7项工作均按照整体绩效目标确定的时限完成。</w:t>
            </w:r>
          </w:p>
        </w:tc>
        <w:tc>
          <w:tcPr>
            <w:tcW w:w="217"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指标4</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在保证完成工作任务的前提下，通过政府采购、三方比价等方式，降低产出成本。公用经费坚持厉行节约、务实高效的原则。</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在保证完成工作任务的前提下，通过政府采购、三方比价等方式，降低产出成本。公用经费坚持厉行节约、务实高效的原则。</w:t>
            </w:r>
          </w:p>
        </w:tc>
        <w:tc>
          <w:tcPr>
            <w:tcW w:w="21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Cs w:val="21"/>
              </w:rPr>
              <w:t>村民生活环境明显改善，垃圾、污水等突出环境问题得到有效治理。</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bookmarkStart w:id="2" w:name="_Hlk103788911"/>
            <w:r>
              <w:rPr>
                <w:rFonts w:hint="eastAsia" w:ascii="仿宋_GB2312" w:hAnsi="宋体" w:eastAsia="仿宋_GB2312" w:cs="宋体"/>
                <w:color w:val="000000"/>
                <w:kern w:val="0"/>
                <w:szCs w:val="21"/>
              </w:rPr>
              <w:t>村民生活环境明显改善，垃圾、污水等突出环境问题得到有效治理。</w:t>
            </w:r>
            <w:bookmarkEnd w:id="2"/>
          </w:p>
        </w:tc>
        <w:tc>
          <w:tcPr>
            <w:tcW w:w="217"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64"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498"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75"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2</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kern w:val="0"/>
                <w:szCs w:val="21"/>
              </w:rPr>
              <w:t>乡村建设有关人员能力进一步增强。</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bookmarkStart w:id="3" w:name="_Hlk103788984"/>
            <w:r>
              <w:rPr>
                <w:rFonts w:hint="eastAsia" w:ascii="仿宋_GB2312" w:hAnsi="宋体" w:eastAsia="仿宋_GB2312" w:cs="宋体"/>
                <w:kern w:val="0"/>
                <w:szCs w:val="21"/>
              </w:rPr>
              <w:t>乡村建设有关人员能力进一步增强。</w:t>
            </w:r>
            <w:bookmarkEnd w:id="3"/>
          </w:p>
        </w:tc>
        <w:tc>
          <w:tcPr>
            <w:tcW w:w="217" w:type="pct"/>
            <w:vMerge w:val="continue"/>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3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3</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Cs w:val="21"/>
              </w:rPr>
              <w:t>财务管理工作更加规范有序。提升部门项目的预算管理水平和资金使用绩效。内部控制制度实施更加规范。</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Cs w:val="21"/>
              </w:rPr>
              <w:t>财务管理工作更加规范有序。提升了部门项目的预算管理水平和资金使用绩效。内部控制制度实施更加规范。</w:t>
            </w: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4</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Cs w:val="21"/>
              </w:rPr>
              <w:t>圆满保障在职职工2021年度就餐支出。</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Cs w:val="21"/>
              </w:rPr>
              <w:t>圆满保障在职职工2021年度就餐支出。</w:t>
            </w: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2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5</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r>
              <w:rPr>
                <w:rFonts w:hint="eastAsia" w:ascii="仿宋" w:hAnsi="仿宋" w:eastAsia="仿宋" w:cs="宋体"/>
                <w:kern w:val="0"/>
                <w:szCs w:val="21"/>
              </w:rPr>
              <w:t>≥90%</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r>
              <w:rPr>
                <w:rFonts w:hint="eastAsia" w:ascii="仿宋" w:hAnsi="仿宋" w:eastAsia="仿宋" w:cs="宋体"/>
                <w:kern w:val="0"/>
                <w:szCs w:val="21"/>
              </w:rPr>
              <w:t>≥90%</w:t>
            </w: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53"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34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w:t>
            </w:r>
          </w:p>
        </w:tc>
        <w:tc>
          <w:tcPr>
            <w:tcW w:w="3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53"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49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bookmarkStart w:id="4" w:name="_Hlk103344342"/>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w:t>
            </w:r>
            <w:bookmarkEnd w:id="4"/>
            <w:r>
              <w:rPr>
                <w:rFonts w:hint="eastAsia" w:ascii="宋体" w:hAnsi="宋体" w:cs="宋体"/>
                <w:color w:val="000000"/>
                <w:kern w:val="0"/>
                <w:sz w:val="18"/>
                <w:szCs w:val="18"/>
              </w:rPr>
              <w:t>每有一项不合格扣0.5分，扣完为止。</w:t>
            </w:r>
          </w:p>
        </w:tc>
      </w:tr>
      <w:tr>
        <w:tblPrEx>
          <w:tblCellMar>
            <w:top w:w="0" w:type="dxa"/>
            <w:left w:w="108" w:type="dxa"/>
            <w:bottom w:w="0" w:type="dxa"/>
            <w:right w:w="108" w:type="dxa"/>
          </w:tblCellMar>
        </w:tblPrEx>
        <w:trPr>
          <w:trHeight w:val="2220" w:hRule="atLeast"/>
        </w:trPr>
        <w:tc>
          <w:tcPr>
            <w:tcW w:w="3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资金使用安全合规</w:t>
            </w:r>
          </w:p>
        </w:tc>
        <w:tc>
          <w:tcPr>
            <w:tcW w:w="3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资金使用安全合规</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53"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49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w:t>
            </w:r>
          </w:p>
        </w:tc>
        <w:tc>
          <w:tcPr>
            <w:tcW w:w="217"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53"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4"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498"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bookmarkStart w:id="5" w:name="_Hlk103344663"/>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bookmarkEnd w:id="5"/>
          </w:p>
        </w:tc>
      </w:tr>
      <w:tr>
        <w:tblPrEx>
          <w:tblCellMar>
            <w:top w:w="0" w:type="dxa"/>
            <w:left w:w="108" w:type="dxa"/>
            <w:bottom w:w="0" w:type="dxa"/>
            <w:right w:w="108" w:type="dxa"/>
          </w:tblCellMar>
        </w:tblPrEx>
        <w:trPr>
          <w:trHeight w:val="222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资产管理规范</w:t>
            </w:r>
          </w:p>
        </w:tc>
        <w:tc>
          <w:tcPr>
            <w:tcW w:w="32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资产管理规范</w:t>
            </w:r>
          </w:p>
        </w:tc>
        <w:tc>
          <w:tcPr>
            <w:tcW w:w="21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49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28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及时对绩效信息进行汇总分析整理；对绩效目标偏离情况及时进行矫正。</w:t>
            </w:r>
          </w:p>
        </w:tc>
        <w:tc>
          <w:tcPr>
            <w:tcW w:w="32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及时对绩效信息进行汇总分析整理；对绩效目标偏离情况及时进行矫正。</w:t>
            </w:r>
          </w:p>
        </w:tc>
        <w:tc>
          <w:tcPr>
            <w:tcW w:w="2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49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　</w:t>
            </w:r>
          </w:p>
        </w:tc>
        <w:tc>
          <w:tcPr>
            <w:tcW w:w="576"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w:t>
            </w:r>
          </w:p>
        </w:tc>
        <w:tc>
          <w:tcPr>
            <w:tcW w:w="3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w:t>
            </w:r>
          </w:p>
        </w:tc>
        <w:tc>
          <w:tcPr>
            <w:tcW w:w="2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5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576"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10.35%</w:t>
            </w:r>
          </w:p>
        </w:tc>
        <w:tc>
          <w:tcPr>
            <w:tcW w:w="320"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bookmarkStart w:id="6" w:name="_Hlk103786451"/>
            <w:r>
              <w:rPr>
                <w:rFonts w:hint="eastAsia" w:ascii="宋体" w:hAnsi="宋体" w:cs="宋体"/>
                <w:color w:val="000000"/>
                <w:kern w:val="0"/>
                <w:sz w:val="20"/>
                <w:szCs w:val="20"/>
              </w:rPr>
              <w:t>14.71</w:t>
            </w:r>
            <w:r>
              <w:rPr>
                <w:rFonts w:ascii="宋体" w:hAnsi="宋体" w:cs="宋体"/>
                <w:color w:val="000000"/>
                <w:kern w:val="0"/>
                <w:sz w:val="20"/>
                <w:szCs w:val="20"/>
              </w:rPr>
              <w:t>%</w:t>
            </w:r>
            <w:bookmarkEnd w:id="6"/>
          </w:p>
        </w:tc>
        <w:tc>
          <w:tcPr>
            <w:tcW w:w="21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6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49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3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576" w:type="pct"/>
            <w:gridSpan w:val="2"/>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0.1</w:t>
            </w:r>
            <w:r>
              <w:rPr>
                <w:rFonts w:ascii="宋体" w:hAnsi="宋体" w:cs="宋体"/>
                <w:color w:val="000000"/>
                <w:kern w:val="0"/>
                <w:sz w:val="20"/>
                <w:szCs w:val="20"/>
              </w:rPr>
              <w:t>%</w:t>
            </w:r>
          </w:p>
        </w:tc>
        <w:tc>
          <w:tcPr>
            <w:tcW w:w="21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3"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64"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498"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1568"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1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3"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3.88</w:t>
            </w:r>
          </w:p>
        </w:tc>
        <w:tc>
          <w:tcPr>
            <w:tcW w:w="2962"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20" w:lineRule="exact"/>
        <w:ind w:left="-21" w:leftChars="-10" w:right="42" w:rightChars="20"/>
      </w:pPr>
    </w:p>
    <w:p>
      <w:pPr>
        <w:spacing w:line="600" w:lineRule="exact"/>
        <w:ind w:firstLine="640" w:firstLineChars="200"/>
        <w:rPr>
          <w:rFonts w:ascii="仿宋_GB2312" w:hAnsi="宋体" w:eastAsia="仿宋_GB2312" w:cs="宋体"/>
          <w:color w:val="000000"/>
          <w:kern w:val="0"/>
          <w:sz w:val="32"/>
          <w:szCs w:val="32"/>
        </w:rPr>
      </w:pPr>
    </w:p>
    <w:p>
      <w:r>
        <w:rPr>
          <w:rFonts w:hint="eastAsia" w:ascii="方正小标宋简体" w:eastAsia="方正小标宋简体"/>
          <w:sz w:val="36"/>
          <w:szCs w:val="36"/>
        </w:rPr>
        <w:t xml:space="preserve"> </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w:pict>
        <v:shape id="文本框 2"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F77F09F4"/>
    <w:rsid w:val="000150D4"/>
    <w:rsid w:val="00063AE9"/>
    <w:rsid w:val="00077B4D"/>
    <w:rsid w:val="000E3066"/>
    <w:rsid w:val="000F75A3"/>
    <w:rsid w:val="00122693"/>
    <w:rsid w:val="001651BC"/>
    <w:rsid w:val="001D2937"/>
    <w:rsid w:val="001E3F9E"/>
    <w:rsid w:val="001F4E36"/>
    <w:rsid w:val="00217DA2"/>
    <w:rsid w:val="0022122A"/>
    <w:rsid w:val="00222622"/>
    <w:rsid w:val="002439B4"/>
    <w:rsid w:val="002472E6"/>
    <w:rsid w:val="00262303"/>
    <w:rsid w:val="00265685"/>
    <w:rsid w:val="00283D28"/>
    <w:rsid w:val="002972A6"/>
    <w:rsid w:val="002B1EDF"/>
    <w:rsid w:val="00306EEB"/>
    <w:rsid w:val="003378C2"/>
    <w:rsid w:val="00396F5D"/>
    <w:rsid w:val="003A21B7"/>
    <w:rsid w:val="003B47B4"/>
    <w:rsid w:val="004329EF"/>
    <w:rsid w:val="00450828"/>
    <w:rsid w:val="00453420"/>
    <w:rsid w:val="004A1515"/>
    <w:rsid w:val="004D6984"/>
    <w:rsid w:val="004E476D"/>
    <w:rsid w:val="004F1191"/>
    <w:rsid w:val="005009BC"/>
    <w:rsid w:val="00535663"/>
    <w:rsid w:val="00555A57"/>
    <w:rsid w:val="00584086"/>
    <w:rsid w:val="005914BC"/>
    <w:rsid w:val="005A2E4E"/>
    <w:rsid w:val="005B04CE"/>
    <w:rsid w:val="005E691F"/>
    <w:rsid w:val="006018E5"/>
    <w:rsid w:val="0061382F"/>
    <w:rsid w:val="0067608D"/>
    <w:rsid w:val="006B43EE"/>
    <w:rsid w:val="006C45D2"/>
    <w:rsid w:val="006C7A3D"/>
    <w:rsid w:val="006F16EA"/>
    <w:rsid w:val="0071574A"/>
    <w:rsid w:val="00717266"/>
    <w:rsid w:val="00735691"/>
    <w:rsid w:val="007572B9"/>
    <w:rsid w:val="00774EF3"/>
    <w:rsid w:val="00797126"/>
    <w:rsid w:val="007A1A62"/>
    <w:rsid w:val="007A6FD1"/>
    <w:rsid w:val="007B6890"/>
    <w:rsid w:val="007C25F3"/>
    <w:rsid w:val="00823D29"/>
    <w:rsid w:val="00843AF7"/>
    <w:rsid w:val="00877531"/>
    <w:rsid w:val="008A2C9E"/>
    <w:rsid w:val="00907D8C"/>
    <w:rsid w:val="00936C11"/>
    <w:rsid w:val="00945BCE"/>
    <w:rsid w:val="009674BB"/>
    <w:rsid w:val="0098585C"/>
    <w:rsid w:val="0099244E"/>
    <w:rsid w:val="009A0D52"/>
    <w:rsid w:val="009C6EB1"/>
    <w:rsid w:val="009F0523"/>
    <w:rsid w:val="00A02C62"/>
    <w:rsid w:val="00A224B9"/>
    <w:rsid w:val="00A373FC"/>
    <w:rsid w:val="00A64D4A"/>
    <w:rsid w:val="00A856B4"/>
    <w:rsid w:val="00A92D55"/>
    <w:rsid w:val="00A93545"/>
    <w:rsid w:val="00A95935"/>
    <w:rsid w:val="00AA474B"/>
    <w:rsid w:val="00AE49E7"/>
    <w:rsid w:val="00B131F3"/>
    <w:rsid w:val="00B26777"/>
    <w:rsid w:val="00B53D41"/>
    <w:rsid w:val="00B73387"/>
    <w:rsid w:val="00BB545F"/>
    <w:rsid w:val="00BC48BB"/>
    <w:rsid w:val="00BD2B97"/>
    <w:rsid w:val="00BE5C23"/>
    <w:rsid w:val="00BF226A"/>
    <w:rsid w:val="00C21B0D"/>
    <w:rsid w:val="00C232CD"/>
    <w:rsid w:val="00C629DC"/>
    <w:rsid w:val="00C67624"/>
    <w:rsid w:val="00C92C0D"/>
    <w:rsid w:val="00CA1B47"/>
    <w:rsid w:val="00CA5D0D"/>
    <w:rsid w:val="00D30C8A"/>
    <w:rsid w:val="00D42887"/>
    <w:rsid w:val="00D52D8F"/>
    <w:rsid w:val="00D90C05"/>
    <w:rsid w:val="00D9199E"/>
    <w:rsid w:val="00DC2375"/>
    <w:rsid w:val="00DE2684"/>
    <w:rsid w:val="00DE26C9"/>
    <w:rsid w:val="00DF19EB"/>
    <w:rsid w:val="00DF5F64"/>
    <w:rsid w:val="00E06FF8"/>
    <w:rsid w:val="00E22D40"/>
    <w:rsid w:val="00E2552B"/>
    <w:rsid w:val="00E450A8"/>
    <w:rsid w:val="00E6731D"/>
    <w:rsid w:val="00E7201C"/>
    <w:rsid w:val="00E836DF"/>
    <w:rsid w:val="00E874EA"/>
    <w:rsid w:val="00E91024"/>
    <w:rsid w:val="00EE6A7F"/>
    <w:rsid w:val="00F75AD8"/>
    <w:rsid w:val="00F825F8"/>
    <w:rsid w:val="00FC3B8E"/>
    <w:rsid w:val="00FD3367"/>
    <w:rsid w:val="00FD44A1"/>
    <w:rsid w:val="00FE00A2"/>
    <w:rsid w:val="00FE6E72"/>
    <w:rsid w:val="0ECF9C51"/>
    <w:rsid w:val="37173543"/>
    <w:rsid w:val="3FF76880"/>
    <w:rsid w:val="649F94BA"/>
    <w:rsid w:val="77EE15D2"/>
    <w:rsid w:val="7AB7FF50"/>
    <w:rsid w:val="7BFEB0DB"/>
    <w:rsid w:val="7E7636EB"/>
    <w:rsid w:val="7FFF3306"/>
    <w:rsid w:val="C36F37B1"/>
    <w:rsid w:val="CEFD3F3D"/>
    <w:rsid w:val="E6EB65D6"/>
    <w:rsid w:val="EA3F77F2"/>
    <w:rsid w:val="EEFE5989"/>
    <w:rsid w:val="EFCF3EAE"/>
    <w:rsid w:val="F5B764A2"/>
    <w:rsid w:val="F77F09F4"/>
    <w:rsid w:val="FFD7B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5068</Words>
  <Characters>616</Characters>
  <Lines>5</Lines>
  <Paragraphs>11</Paragraphs>
  <TotalTime>1572</TotalTime>
  <ScaleCrop>false</ScaleCrop>
  <LinksUpToDate>false</LinksUpToDate>
  <CharactersWithSpaces>5673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2022-03-11T03:16:00Z</dcterms:created>
  <dc:creator>user</dc:creator>
  <cp:lastModifiedBy>admin</cp:lastModifiedBy>
  <dcterms:modified xsi:type="dcterms:W3CDTF">2022-08-22T08:30:54Z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